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5"/>
        <w:jc w:val="center"/>
        <w:outlineLvl w:val="9"/>
        <w:rPr>
          <w:rFonts w:hint="eastAsia" w:ascii="仿宋" w:hAnsi="仿宋" w:eastAsia="仿宋" w:cs="仿宋"/>
          <w:b/>
          <w:bCs/>
          <w:color w:val="auto"/>
          <w:sz w:val="72"/>
          <w:szCs w:val="72"/>
          <w:highlight w:val="none"/>
          <w:lang w:eastAsia="zh-CN"/>
        </w:rPr>
      </w:pPr>
    </w:p>
    <w:p>
      <w:pPr>
        <w:jc w:val="center"/>
        <w:rPr>
          <w:rFonts w:hint="eastAsia" w:ascii="仿宋" w:hAnsi="仿宋" w:eastAsia="仿宋" w:cs="仿宋"/>
          <w:b/>
          <w:bCs/>
          <w:color w:val="auto"/>
          <w:sz w:val="52"/>
          <w:szCs w:val="52"/>
          <w:highlight w:val="none"/>
          <w:lang w:eastAsia="zh-CN"/>
        </w:rPr>
      </w:pPr>
      <w:r>
        <w:rPr>
          <w:rFonts w:hint="eastAsia" w:ascii="仿宋" w:hAnsi="仿宋" w:eastAsia="仿宋" w:cs="仿宋"/>
          <w:b/>
          <w:bCs/>
          <w:color w:val="auto"/>
          <w:sz w:val="52"/>
          <w:szCs w:val="52"/>
          <w:highlight w:val="none"/>
          <w:lang w:eastAsia="zh-CN"/>
        </w:rPr>
        <w:t>云南师范大学附属世纪金源学校</w:t>
      </w:r>
    </w:p>
    <w:p>
      <w:pPr>
        <w:jc w:val="center"/>
        <w:rPr>
          <w:rFonts w:hint="eastAsia" w:ascii="仿宋" w:hAnsi="仿宋" w:eastAsia="仿宋" w:cs="仿宋"/>
          <w:b/>
          <w:bCs/>
          <w:color w:val="auto"/>
          <w:kern w:val="0"/>
          <w:sz w:val="52"/>
          <w:szCs w:val="52"/>
          <w:highlight w:val="none"/>
        </w:rPr>
      </w:pPr>
      <w:r>
        <w:rPr>
          <w:rFonts w:hint="eastAsia" w:ascii="仿宋" w:hAnsi="仿宋" w:eastAsia="仿宋" w:cs="仿宋"/>
          <w:b/>
          <w:bCs/>
          <w:color w:val="auto"/>
          <w:sz w:val="52"/>
          <w:szCs w:val="52"/>
          <w:highlight w:val="none"/>
          <w:lang w:eastAsia="zh-CN"/>
        </w:rPr>
        <w:t>零星修缮项目</w:t>
      </w:r>
    </w:p>
    <w:p>
      <w:pPr>
        <w:pStyle w:val="45"/>
        <w:outlineLvl w:val="9"/>
        <w:rPr>
          <w:rFonts w:hint="eastAsia" w:ascii="仿宋" w:hAnsi="仿宋" w:eastAsia="仿宋" w:cs="仿宋"/>
          <w:color w:val="auto"/>
          <w:highlight w:val="none"/>
        </w:rPr>
      </w:pPr>
    </w:p>
    <w:p>
      <w:pPr>
        <w:pStyle w:val="19"/>
        <w:spacing w:line="360" w:lineRule="auto"/>
        <w:jc w:val="both"/>
        <w:rPr>
          <w:rFonts w:hint="default" w:ascii="仿宋" w:hAnsi="仿宋" w:eastAsia="仿宋" w:cs="仿宋"/>
          <w:b/>
          <w:bCs/>
          <w:color w:val="auto"/>
          <w:sz w:val="84"/>
          <w:szCs w:val="84"/>
          <w:highlight w:val="none"/>
          <w:lang w:val="en-US" w:eastAsia="zh-CN"/>
        </w:rPr>
      </w:pPr>
      <w:r>
        <w:rPr>
          <w:rFonts w:hint="eastAsia" w:ascii="仿宋" w:hAnsi="仿宋" w:eastAsia="仿宋" w:cs="仿宋"/>
          <w:b/>
          <w:bCs/>
          <w:color w:val="auto"/>
          <w:sz w:val="84"/>
          <w:szCs w:val="84"/>
          <w:highlight w:val="none"/>
          <w:lang w:val="en-US" w:eastAsia="zh-CN"/>
        </w:rPr>
        <w:t xml:space="preserve"> </w:t>
      </w:r>
    </w:p>
    <w:p>
      <w:pPr>
        <w:rPr>
          <w:rFonts w:hint="eastAsia" w:ascii="仿宋" w:hAnsi="仿宋" w:eastAsia="仿宋" w:cs="仿宋"/>
          <w:color w:val="auto"/>
          <w:highlight w:val="none"/>
          <w:lang w:eastAsia="zh-CN"/>
        </w:rPr>
      </w:pPr>
    </w:p>
    <w:p>
      <w:pPr>
        <w:outlineLvl w:val="9"/>
        <w:rPr>
          <w:rFonts w:hint="eastAsia" w:ascii="仿宋" w:hAnsi="仿宋" w:eastAsia="仿宋" w:cs="仿宋"/>
          <w:color w:val="auto"/>
          <w:highlight w:val="none"/>
          <w:lang w:eastAsia="zh-CN"/>
        </w:rPr>
      </w:pPr>
    </w:p>
    <w:p>
      <w:pPr>
        <w:rPr>
          <w:rFonts w:hint="eastAsia" w:ascii="仿宋" w:hAnsi="仿宋" w:eastAsia="仿宋" w:cs="仿宋"/>
          <w:color w:val="auto"/>
          <w:highlight w:val="none"/>
        </w:rPr>
      </w:pPr>
    </w:p>
    <w:p>
      <w:pPr>
        <w:pStyle w:val="19"/>
        <w:spacing w:line="360" w:lineRule="auto"/>
        <w:jc w:val="center"/>
        <w:rPr>
          <w:rFonts w:hint="eastAsia" w:ascii="仿宋" w:hAnsi="仿宋" w:eastAsia="仿宋" w:cs="仿宋"/>
          <w:color w:val="auto"/>
          <w:highlight w:val="none"/>
        </w:rPr>
      </w:pPr>
      <w:r>
        <w:rPr>
          <w:rFonts w:hint="eastAsia" w:ascii="仿宋" w:hAnsi="仿宋" w:eastAsia="仿宋" w:cs="仿宋"/>
          <w:b/>
          <w:bCs/>
          <w:color w:val="auto"/>
          <w:sz w:val="84"/>
          <w:szCs w:val="84"/>
          <w:highlight w:val="none"/>
          <w:lang w:val="en-US" w:eastAsia="zh-CN"/>
        </w:rPr>
        <w:t>竞争性</w:t>
      </w:r>
      <w:r>
        <w:rPr>
          <w:rFonts w:hint="eastAsia" w:ascii="仿宋" w:hAnsi="仿宋" w:eastAsia="仿宋" w:cs="仿宋"/>
          <w:b/>
          <w:bCs/>
          <w:color w:val="auto"/>
          <w:sz w:val="84"/>
          <w:szCs w:val="84"/>
          <w:highlight w:val="none"/>
        </w:rPr>
        <w:t>比选文件</w:t>
      </w:r>
    </w:p>
    <w:p>
      <w:pPr>
        <w:pStyle w:val="19"/>
        <w:spacing w:line="360" w:lineRule="auto"/>
        <w:jc w:val="center"/>
        <w:rPr>
          <w:rFonts w:hint="eastAsia" w:ascii="仿宋" w:hAnsi="仿宋" w:eastAsia="仿宋" w:cs="仿宋"/>
          <w:b/>
          <w:bCs/>
          <w:color w:val="auto"/>
          <w:sz w:val="36"/>
          <w:szCs w:val="36"/>
          <w:highlight w:val="none"/>
          <w:lang w:eastAsia="zh-CN"/>
        </w:rPr>
      </w:pPr>
      <w:r>
        <w:rPr>
          <w:rFonts w:hint="eastAsia" w:ascii="仿宋" w:hAnsi="仿宋" w:eastAsia="仿宋" w:cs="仿宋"/>
          <w:b/>
          <w:bCs/>
          <w:color w:val="auto"/>
          <w:sz w:val="36"/>
          <w:szCs w:val="36"/>
          <w:highlight w:val="none"/>
          <w:lang w:eastAsia="zh-CN"/>
        </w:rPr>
        <w:t xml:space="preserve">   </w:t>
      </w:r>
    </w:p>
    <w:p>
      <w:pPr>
        <w:pStyle w:val="19"/>
        <w:spacing w:line="360" w:lineRule="auto"/>
        <w:rPr>
          <w:rFonts w:hint="eastAsia" w:ascii="仿宋" w:hAnsi="仿宋" w:eastAsia="仿宋" w:cs="仿宋"/>
          <w:color w:val="auto"/>
          <w:highlight w:val="none"/>
        </w:rPr>
      </w:pPr>
    </w:p>
    <w:p>
      <w:pPr>
        <w:pStyle w:val="19"/>
        <w:spacing w:line="360" w:lineRule="auto"/>
        <w:rPr>
          <w:rFonts w:hint="eastAsia" w:ascii="仿宋" w:hAnsi="仿宋" w:eastAsia="仿宋" w:cs="仿宋"/>
          <w:color w:val="auto"/>
          <w:highlight w:val="none"/>
        </w:rPr>
      </w:pPr>
    </w:p>
    <w:p>
      <w:pPr>
        <w:pStyle w:val="19"/>
        <w:spacing w:line="360" w:lineRule="auto"/>
        <w:rPr>
          <w:rFonts w:hint="eastAsia" w:ascii="仿宋" w:hAnsi="仿宋" w:eastAsia="仿宋" w:cs="仿宋"/>
          <w:b/>
          <w:bCs/>
          <w:color w:val="auto"/>
          <w:sz w:val="32"/>
          <w:highlight w:val="none"/>
        </w:rPr>
      </w:pPr>
    </w:p>
    <w:p>
      <w:pPr>
        <w:rPr>
          <w:rFonts w:hint="eastAsia" w:ascii="仿宋" w:hAnsi="仿宋" w:eastAsia="仿宋" w:cs="仿宋"/>
          <w:color w:val="auto"/>
          <w:highlight w:val="none"/>
        </w:rPr>
      </w:pPr>
    </w:p>
    <w:p>
      <w:pPr>
        <w:pStyle w:val="45"/>
        <w:outlineLvl w:val="9"/>
        <w:rPr>
          <w:rFonts w:hint="eastAsia" w:ascii="仿宋" w:hAnsi="仿宋" w:eastAsia="仿宋" w:cs="仿宋"/>
          <w:color w:val="auto"/>
          <w:highlight w:val="none"/>
          <w:lang w:eastAsia="zh-CN"/>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rPr>
          <w:rFonts w:hint="eastAsia" w:ascii="仿宋" w:hAnsi="仿宋" w:eastAsia="仿宋" w:cs="仿宋"/>
          <w:color w:val="auto"/>
          <w:highlight w:val="none"/>
        </w:rPr>
      </w:pPr>
    </w:p>
    <w:p>
      <w:pPr>
        <w:pStyle w:val="19"/>
        <w:spacing w:line="720" w:lineRule="auto"/>
        <w:jc w:val="center"/>
        <w:rPr>
          <w:rFonts w:hint="eastAsia" w:ascii="仿宋" w:hAnsi="仿宋" w:eastAsia="仿宋" w:cs="仿宋"/>
          <w:b/>
          <w:bCs/>
          <w:color w:val="auto"/>
          <w:sz w:val="36"/>
          <w:szCs w:val="36"/>
          <w:highlight w:val="none"/>
          <w:lang w:eastAsia="zh-CN"/>
        </w:rPr>
      </w:pPr>
      <w:r>
        <w:rPr>
          <w:rFonts w:hint="eastAsia" w:ascii="仿宋" w:hAnsi="仿宋" w:eastAsia="仿宋" w:cs="仿宋"/>
          <w:b/>
          <w:bCs/>
          <w:color w:val="auto"/>
          <w:sz w:val="36"/>
          <w:szCs w:val="36"/>
          <w:highlight w:val="none"/>
        </w:rPr>
        <w:t>招标人：</w:t>
      </w:r>
      <w:r>
        <w:rPr>
          <w:rFonts w:hint="eastAsia" w:ascii="仿宋" w:hAnsi="仿宋" w:eastAsia="仿宋" w:cs="仿宋"/>
          <w:b/>
          <w:bCs/>
          <w:color w:val="auto"/>
          <w:sz w:val="36"/>
          <w:szCs w:val="36"/>
          <w:highlight w:val="none"/>
          <w:lang w:eastAsia="zh-CN"/>
        </w:rPr>
        <w:t>云南师范大学附属世纪金源学校</w:t>
      </w:r>
    </w:p>
    <w:p>
      <w:pPr>
        <w:pStyle w:val="19"/>
        <w:tabs>
          <w:tab w:val="center" w:pos="4821"/>
          <w:tab w:val="right" w:pos="9525"/>
        </w:tabs>
        <w:spacing w:line="720" w:lineRule="auto"/>
        <w:jc w:val="left"/>
        <w:rPr>
          <w:rFonts w:hint="eastAsia" w:ascii="仿宋" w:hAnsi="仿宋" w:eastAsia="仿宋" w:cs="仿宋"/>
          <w:b/>
          <w:bCs/>
          <w:color w:val="auto"/>
          <w:sz w:val="36"/>
          <w:szCs w:val="36"/>
          <w:highlight w:val="none"/>
          <w:lang w:eastAsia="zh-CN"/>
        </w:rPr>
      </w:pPr>
      <w:r>
        <w:rPr>
          <w:rFonts w:hint="eastAsia" w:ascii="仿宋" w:hAnsi="仿宋" w:eastAsia="仿宋" w:cs="仿宋"/>
          <w:b/>
          <w:bCs/>
          <w:color w:val="auto"/>
          <w:sz w:val="36"/>
          <w:szCs w:val="36"/>
          <w:highlight w:val="none"/>
          <w:lang w:eastAsia="zh-CN"/>
        </w:rPr>
        <w:tab/>
      </w:r>
    </w:p>
    <w:p>
      <w:pPr>
        <w:pStyle w:val="19"/>
        <w:spacing w:line="720" w:lineRule="auto"/>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二○二</w:t>
      </w:r>
      <w:r>
        <w:rPr>
          <w:rFonts w:hint="eastAsia" w:ascii="仿宋" w:hAnsi="仿宋" w:eastAsia="仿宋" w:cs="仿宋"/>
          <w:b/>
          <w:bCs/>
          <w:color w:val="auto"/>
          <w:sz w:val="36"/>
          <w:szCs w:val="36"/>
          <w:highlight w:val="none"/>
          <w:lang w:val="en-US" w:eastAsia="zh-CN"/>
        </w:rPr>
        <w:t>四</w:t>
      </w:r>
      <w:r>
        <w:rPr>
          <w:rFonts w:hint="eastAsia" w:ascii="仿宋" w:hAnsi="仿宋" w:eastAsia="仿宋" w:cs="仿宋"/>
          <w:b/>
          <w:bCs/>
          <w:color w:val="auto"/>
          <w:sz w:val="36"/>
          <w:szCs w:val="36"/>
          <w:highlight w:val="none"/>
        </w:rPr>
        <w:t>年</w:t>
      </w:r>
      <w:r>
        <w:rPr>
          <w:rFonts w:hint="eastAsia" w:ascii="仿宋" w:hAnsi="仿宋" w:eastAsia="仿宋" w:cs="仿宋"/>
          <w:b/>
          <w:bCs/>
          <w:color w:val="auto"/>
          <w:sz w:val="36"/>
          <w:szCs w:val="36"/>
          <w:highlight w:val="none"/>
          <w:lang w:val="en-US" w:eastAsia="zh-CN"/>
        </w:rPr>
        <w:t>四</w:t>
      </w:r>
      <w:r>
        <w:rPr>
          <w:rFonts w:hint="eastAsia" w:ascii="仿宋" w:hAnsi="仿宋" w:eastAsia="仿宋" w:cs="仿宋"/>
          <w:b/>
          <w:bCs/>
          <w:color w:val="auto"/>
          <w:sz w:val="36"/>
          <w:szCs w:val="36"/>
          <w:highlight w:val="none"/>
        </w:rPr>
        <w:t>月</w:t>
      </w:r>
    </w:p>
    <w:p>
      <w:pPr>
        <w:pStyle w:val="2"/>
        <w:numPr>
          <w:ilvl w:val="0"/>
          <w:numId w:val="0"/>
        </w:numPr>
        <w:spacing w:line="400" w:lineRule="exact"/>
        <w:jc w:val="center"/>
        <w:rPr>
          <w:rFonts w:hint="eastAsia" w:ascii="仿宋" w:hAnsi="仿宋" w:eastAsia="仿宋" w:cs="仿宋"/>
          <w:color w:val="auto"/>
          <w:sz w:val="32"/>
          <w:szCs w:val="21"/>
          <w:highlight w:val="none"/>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8249"/>
      <w:bookmarkStart w:id="1" w:name="_Toc22511"/>
      <w:bookmarkStart w:id="2" w:name="_Toc23217"/>
      <w:bookmarkStart w:id="3" w:name="_Toc7051"/>
      <w:bookmarkStart w:id="4" w:name="_Toc26256"/>
      <w:bookmarkStart w:id="5" w:name="_Toc337822202"/>
      <w:bookmarkStart w:id="6" w:name="_Toc12305"/>
      <w:bookmarkStart w:id="7" w:name="_Toc9845"/>
      <w:bookmarkStart w:id="8" w:name="_Toc4248"/>
    </w:p>
    <w:p>
      <w:pPr>
        <w:numPr>
          <w:ilvl w:val="0"/>
          <w:numId w:val="0"/>
        </w:numPr>
        <w:tabs>
          <w:tab w:val="left" w:pos="360"/>
        </w:tabs>
        <w:spacing w:line="400" w:lineRule="exact"/>
        <w:jc w:val="center"/>
        <w:outlineLvl w:val="9"/>
        <w:rPr>
          <w:rFonts w:hint="eastAsia" w:ascii="仿宋" w:hAnsi="仿宋" w:eastAsia="仿宋" w:cs="仿宋"/>
          <w:color w:val="auto"/>
          <w:highlight w:val="none"/>
        </w:rPr>
      </w:pPr>
      <w:bookmarkStart w:id="9" w:name="_Toc16190"/>
      <w:bookmarkStart w:id="10" w:name="_Toc24213"/>
      <w:bookmarkStart w:id="11" w:name="_Toc14853"/>
      <w:bookmarkStart w:id="12" w:name="_Toc10584"/>
      <w:bookmarkStart w:id="13" w:name="_Toc21895"/>
      <w:bookmarkStart w:id="14" w:name="_Toc21155"/>
      <w:bookmarkStart w:id="15" w:name="_Toc17336"/>
      <w:bookmarkStart w:id="16" w:name="_Toc18922"/>
      <w:bookmarkStart w:id="17" w:name="_Toc8002"/>
      <w:bookmarkStart w:id="18" w:name="_Toc23601"/>
      <w:r>
        <w:rPr>
          <w:rFonts w:hint="eastAsia" w:ascii="仿宋" w:hAnsi="仿宋" w:eastAsia="仿宋" w:cs="仿宋"/>
          <w:color w:val="auto"/>
          <w:sz w:val="32"/>
          <w:szCs w:val="21"/>
          <w:highlight w:val="none"/>
        </w:rPr>
        <w:t>目  录</w:t>
      </w:r>
      <w:bookmarkEnd w:id="0"/>
      <w:bookmarkEnd w:id="1"/>
      <w:bookmarkEnd w:id="2"/>
      <w:bookmarkEnd w:id="9"/>
      <w:bookmarkEnd w:id="10"/>
      <w:bookmarkEnd w:id="11"/>
      <w:bookmarkEnd w:id="12"/>
      <w:bookmarkEnd w:id="13"/>
      <w:bookmarkEnd w:id="14"/>
      <w:bookmarkEnd w:id="15"/>
      <w:bookmarkEnd w:id="16"/>
      <w:bookmarkEnd w:id="17"/>
      <w:bookmarkEnd w:id="18"/>
    </w:p>
    <w:p>
      <w:pPr>
        <w:pStyle w:val="26"/>
        <w:tabs>
          <w:tab w:val="right" w:leader="dot" w:pos="9525"/>
        </w:tabs>
      </w:pPr>
      <w:r>
        <w:rPr>
          <w:rFonts w:hint="eastAsia" w:ascii="仿宋" w:hAnsi="仿宋" w:eastAsia="仿宋" w:cs="仿宋"/>
          <w:color w:val="auto"/>
          <w:sz w:val="24"/>
          <w:szCs w:val="32"/>
          <w:highlight w:val="none"/>
        </w:rPr>
        <w:fldChar w:fldCharType="begin"/>
      </w:r>
      <w:r>
        <w:rPr>
          <w:rFonts w:hint="eastAsia" w:ascii="仿宋" w:hAnsi="仿宋" w:eastAsia="仿宋" w:cs="仿宋"/>
          <w:color w:val="auto"/>
          <w:sz w:val="24"/>
          <w:szCs w:val="32"/>
          <w:highlight w:val="none"/>
        </w:rPr>
        <w:instrText xml:space="preserve">TOC \o "1-3" \h \u </w:instrText>
      </w:r>
      <w:r>
        <w:rPr>
          <w:rFonts w:hint="eastAsia" w:ascii="仿宋" w:hAnsi="仿宋" w:eastAsia="仿宋" w:cs="仿宋"/>
          <w:color w:val="auto"/>
          <w:sz w:val="24"/>
          <w:szCs w:val="32"/>
          <w:highlight w:val="none"/>
        </w:rPr>
        <w:fldChar w:fldCharType="separate"/>
      </w: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_Toc15885 </w:instrText>
      </w:r>
      <w:r>
        <w:rPr>
          <w:rFonts w:hint="eastAsia" w:ascii="仿宋" w:hAnsi="仿宋" w:eastAsia="仿宋" w:cs="仿宋"/>
          <w:szCs w:val="32"/>
          <w:highlight w:val="none"/>
        </w:rPr>
        <w:fldChar w:fldCharType="separate"/>
      </w:r>
      <w:r>
        <w:rPr>
          <w:rFonts w:hint="eastAsia" w:ascii="仿宋" w:hAnsi="仿宋" w:eastAsia="仿宋" w:cs="仿宋"/>
          <w:szCs w:val="32"/>
          <w:highlight w:val="none"/>
        </w:rPr>
        <w:t xml:space="preserve">第一章  </w:t>
      </w:r>
      <w:r>
        <w:rPr>
          <w:rFonts w:hint="eastAsia" w:ascii="仿宋" w:hAnsi="仿宋" w:eastAsia="仿宋" w:cs="仿宋"/>
          <w:szCs w:val="32"/>
          <w:highlight w:val="none"/>
          <w:lang w:val="en-US" w:eastAsia="zh-CN"/>
        </w:rPr>
        <w:t>竞争性</w:t>
      </w:r>
      <w:r>
        <w:rPr>
          <w:rFonts w:hint="eastAsia" w:ascii="仿宋" w:hAnsi="仿宋" w:eastAsia="仿宋" w:cs="仿宋"/>
          <w:szCs w:val="32"/>
          <w:highlight w:val="none"/>
        </w:rPr>
        <w:t>比选公告</w:t>
      </w:r>
      <w:r>
        <w:tab/>
      </w:r>
      <w:r>
        <w:fldChar w:fldCharType="begin"/>
      </w:r>
      <w:r>
        <w:instrText xml:space="preserve"> PAGEREF _Toc15885 \h </w:instrText>
      </w:r>
      <w:r>
        <w:fldChar w:fldCharType="separate"/>
      </w:r>
      <w:r>
        <w:t>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_Toc21103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一、项目基本情况</w:t>
      </w:r>
      <w:r>
        <w:tab/>
      </w:r>
      <w:r>
        <w:fldChar w:fldCharType="begin"/>
      </w:r>
      <w:r>
        <w:instrText xml:space="preserve"> PAGEREF _Toc21103 \h </w:instrText>
      </w:r>
      <w:r>
        <w:fldChar w:fldCharType="separate"/>
      </w:r>
      <w:r>
        <w:t>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_Toc4242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二、投标人的资格要求：</w:t>
      </w:r>
      <w:r>
        <w:tab/>
      </w:r>
      <w:r>
        <w:fldChar w:fldCharType="begin"/>
      </w:r>
      <w:r>
        <w:instrText xml:space="preserve"> PAGEREF _Toc4242 \h </w:instrText>
      </w:r>
      <w:r>
        <w:fldChar w:fldCharType="separate"/>
      </w:r>
      <w:r>
        <w:t>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_Toc5122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三、获取比选文件</w:t>
      </w:r>
      <w:r>
        <w:tab/>
      </w:r>
      <w:r>
        <w:fldChar w:fldCharType="begin"/>
      </w:r>
      <w:r>
        <w:instrText xml:space="preserve"> PAGEREF _Toc5122 \h </w:instrText>
      </w:r>
      <w:r>
        <w:fldChar w:fldCharType="separate"/>
      </w:r>
      <w:r>
        <w:t>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_Toc282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四、比选文件提交</w:t>
      </w:r>
      <w:r>
        <w:tab/>
      </w:r>
      <w:r>
        <w:fldChar w:fldCharType="begin"/>
      </w:r>
      <w:r>
        <w:instrText xml:space="preserve"> PAGEREF _Toc282 \h </w:instrText>
      </w:r>
      <w:r>
        <w:fldChar w:fldCharType="separate"/>
      </w:r>
      <w:r>
        <w:t>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_Toc200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五、开启</w:t>
      </w:r>
      <w:r>
        <w:tab/>
      </w:r>
      <w:r>
        <w:fldChar w:fldCharType="begin"/>
      </w:r>
      <w:r>
        <w:instrText xml:space="preserve"> PAGEREF _Toc200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_Toc25939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六、公告期限</w:t>
      </w:r>
      <w:r>
        <w:tab/>
      </w:r>
      <w:r>
        <w:fldChar w:fldCharType="begin"/>
      </w:r>
      <w:r>
        <w:instrText xml:space="preserve"> PAGEREF _Toc25939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_Toc9119 </w:instrText>
      </w:r>
      <w:r>
        <w:rPr>
          <w:rFonts w:hint="eastAsia" w:ascii="仿宋" w:hAnsi="仿宋" w:eastAsia="仿宋" w:cs="仿宋"/>
          <w:szCs w:val="32"/>
          <w:highlight w:val="none"/>
        </w:rPr>
        <w:fldChar w:fldCharType="separate"/>
      </w:r>
      <w:r>
        <w:rPr>
          <w:rFonts w:hint="eastAsia" w:ascii="仿宋" w:hAnsi="仿宋" w:eastAsia="仿宋" w:cs="仿宋"/>
          <w:bCs/>
          <w:highlight w:val="none"/>
        </w:rPr>
        <w:t>八、凡对本次</w:t>
      </w:r>
      <w:r>
        <w:rPr>
          <w:rFonts w:hint="eastAsia" w:ascii="仿宋" w:hAnsi="仿宋" w:eastAsia="仿宋" w:cs="仿宋"/>
          <w:bCs/>
          <w:highlight w:val="none"/>
          <w:lang w:val="en-US" w:eastAsia="zh-CN"/>
        </w:rPr>
        <w:t>招标</w:t>
      </w:r>
      <w:r>
        <w:rPr>
          <w:rFonts w:hint="eastAsia" w:ascii="仿宋" w:hAnsi="仿宋" w:eastAsia="仿宋" w:cs="仿宋"/>
          <w:bCs/>
          <w:highlight w:val="none"/>
        </w:rPr>
        <w:t>提出询问，请按以下方式联系</w:t>
      </w:r>
      <w:r>
        <w:tab/>
      </w:r>
      <w:r>
        <w:fldChar w:fldCharType="begin"/>
      </w:r>
      <w:r>
        <w:instrText xml:space="preserve"> PAGEREF _Toc9119 \h </w:instrText>
      </w:r>
      <w:r>
        <w:fldChar w:fldCharType="separate"/>
      </w:r>
      <w:r>
        <w:t>6</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_Toc8416 </w:instrText>
      </w:r>
      <w:r>
        <w:rPr>
          <w:rFonts w:hint="eastAsia" w:ascii="仿宋" w:hAnsi="仿宋" w:eastAsia="仿宋" w:cs="仿宋"/>
          <w:szCs w:val="32"/>
          <w:highlight w:val="none"/>
        </w:rPr>
        <w:fldChar w:fldCharType="separate"/>
      </w:r>
      <w:r>
        <w:rPr>
          <w:rFonts w:hint="eastAsia" w:ascii="仿宋" w:hAnsi="仿宋" w:eastAsia="仿宋" w:cs="仿宋"/>
          <w:szCs w:val="32"/>
          <w:highlight w:val="none"/>
        </w:rPr>
        <w:t>第二章  投标人须知</w:t>
      </w:r>
      <w:r>
        <w:tab/>
      </w:r>
      <w:r>
        <w:fldChar w:fldCharType="begin"/>
      </w:r>
      <w:r>
        <w:instrText xml:space="preserve"> PAGEREF _Toc8416 \h </w:instrText>
      </w:r>
      <w:r>
        <w:fldChar w:fldCharType="separate"/>
      </w:r>
      <w:r>
        <w:t>7</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_Toc19679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投标人须知前附表</w:t>
      </w:r>
      <w:r>
        <w:tab/>
      </w:r>
      <w:r>
        <w:fldChar w:fldCharType="begin"/>
      </w:r>
      <w:r>
        <w:instrText xml:space="preserve"> PAGEREF _Toc19679 \h </w:instrText>
      </w:r>
      <w:r>
        <w:fldChar w:fldCharType="separate"/>
      </w:r>
      <w:r>
        <w:t>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_Toc14609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一、总  则</w:t>
      </w:r>
      <w:r>
        <w:tab/>
      </w:r>
      <w:r>
        <w:fldChar w:fldCharType="begin"/>
      </w:r>
      <w:r>
        <w:instrText xml:space="preserve"> PAGEREF _Toc14609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_Toc20891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项目概况</w:t>
      </w:r>
      <w:r>
        <w:tab/>
      </w:r>
      <w:r>
        <w:fldChar w:fldCharType="begin"/>
      </w:r>
      <w:r>
        <w:instrText xml:space="preserve"> PAGEREF _Toc20891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_Toc10123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资金来源</w:t>
      </w:r>
      <w:r>
        <w:tab/>
      </w:r>
      <w:r>
        <w:fldChar w:fldCharType="begin"/>
      </w:r>
      <w:r>
        <w:instrText xml:space="preserve"> PAGEREF _Toc10123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_Toc25155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招标范围及合同履行期限</w:t>
      </w:r>
      <w:r>
        <w:tab/>
      </w:r>
      <w:r>
        <w:fldChar w:fldCharType="begin"/>
      </w:r>
      <w:r>
        <w:instrText xml:space="preserve"> PAGEREF _Toc25155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_Toc27378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★合格的投标人（以下简称投标人）</w:t>
      </w:r>
      <w:r>
        <w:tab/>
      </w:r>
      <w:r>
        <w:fldChar w:fldCharType="begin"/>
      </w:r>
      <w:r>
        <w:instrText xml:space="preserve"> PAGEREF _Toc27378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_Toc6933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5. </w:t>
      </w:r>
      <w:r>
        <w:rPr>
          <w:rFonts w:hint="eastAsia" w:ascii="仿宋" w:hAnsi="仿宋" w:eastAsia="仿宋" w:cs="仿宋"/>
          <w:szCs w:val="24"/>
          <w:highlight w:val="none"/>
        </w:rPr>
        <w:t>比选费用</w:t>
      </w:r>
      <w:r>
        <w:tab/>
      </w:r>
      <w:r>
        <w:fldChar w:fldCharType="begin"/>
      </w:r>
      <w:r>
        <w:instrText xml:space="preserve"> PAGEREF _Toc6933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_Toc3597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二、比选文件</w:t>
      </w:r>
      <w:r>
        <w:tab/>
      </w:r>
      <w:r>
        <w:fldChar w:fldCharType="begin"/>
      </w:r>
      <w:r>
        <w:instrText xml:space="preserve"> PAGEREF _Toc3597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_Toc17714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比选文件的组成</w:t>
      </w:r>
      <w:r>
        <w:tab/>
      </w:r>
      <w:r>
        <w:fldChar w:fldCharType="begin"/>
      </w:r>
      <w:r>
        <w:instrText xml:space="preserve"> PAGEREF _Toc17714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_Toc24841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比选文件的澄清、修改</w:t>
      </w:r>
      <w:r>
        <w:tab/>
      </w:r>
      <w:r>
        <w:fldChar w:fldCharType="begin"/>
      </w:r>
      <w:r>
        <w:instrText xml:space="preserve"> PAGEREF _Toc24841 \h </w:instrText>
      </w:r>
      <w:r>
        <w:fldChar w:fldCharType="separate"/>
      </w:r>
      <w:r>
        <w:t>9</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_Toc13663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三、响应文件的编制</w:t>
      </w:r>
      <w:r>
        <w:tab/>
      </w:r>
      <w:r>
        <w:fldChar w:fldCharType="begin"/>
      </w:r>
      <w:r>
        <w:instrText xml:space="preserve"> PAGEREF _Toc13663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_Toc15806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响应文件编写注意事项</w:t>
      </w:r>
      <w:r>
        <w:tab/>
      </w:r>
      <w:r>
        <w:fldChar w:fldCharType="begin"/>
      </w:r>
      <w:r>
        <w:instrText xml:space="preserve"> PAGEREF _Toc15806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_Toc23984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响应文件构成</w:t>
      </w:r>
      <w:r>
        <w:tab/>
      </w:r>
      <w:r>
        <w:fldChar w:fldCharType="begin"/>
      </w:r>
      <w:r>
        <w:instrText xml:space="preserve"> PAGEREF _Toc23984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_Toc14111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报价和报价货币</w:t>
      </w:r>
      <w:r>
        <w:tab/>
      </w:r>
      <w:r>
        <w:fldChar w:fldCharType="begin"/>
      </w:r>
      <w:r>
        <w:instrText xml:space="preserve"> PAGEREF _Toc14111 \h </w:instrText>
      </w:r>
      <w:r>
        <w:fldChar w:fldCharType="separate"/>
      </w:r>
      <w:r>
        <w:t>10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_Toc4530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有效期</w:t>
      </w:r>
      <w:r>
        <w:tab/>
      </w:r>
      <w:r>
        <w:fldChar w:fldCharType="begin"/>
      </w:r>
      <w:r>
        <w:instrText xml:space="preserve"> PAGEREF _Toc4530 \h </w:instrText>
      </w:r>
      <w:r>
        <w:fldChar w:fldCharType="separate"/>
      </w:r>
      <w:r>
        <w:t>11</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_Toc21829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5. </w:t>
      </w:r>
      <w:r>
        <w:rPr>
          <w:rFonts w:hint="eastAsia" w:ascii="仿宋" w:hAnsi="仿宋" w:eastAsia="仿宋" w:cs="仿宋"/>
          <w:szCs w:val="24"/>
          <w:highlight w:val="none"/>
        </w:rPr>
        <w:t>响应文件的书写要求</w:t>
      </w:r>
      <w:r>
        <w:tab/>
      </w:r>
      <w:r>
        <w:fldChar w:fldCharType="begin"/>
      </w:r>
      <w:r>
        <w:instrText xml:space="preserve"> PAGEREF _Toc21829 \h </w:instrText>
      </w:r>
      <w:r>
        <w:fldChar w:fldCharType="separate"/>
      </w:r>
      <w:r>
        <w:t>11</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_Toc14550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6. </w:t>
      </w:r>
      <w:r>
        <w:rPr>
          <w:rFonts w:hint="eastAsia" w:ascii="仿宋" w:hAnsi="仿宋" w:eastAsia="仿宋" w:cs="仿宋"/>
          <w:szCs w:val="24"/>
          <w:highlight w:val="none"/>
          <w:lang w:val="en-US" w:eastAsia="zh-CN"/>
        </w:rPr>
        <w:t>比选</w:t>
      </w:r>
      <w:r>
        <w:rPr>
          <w:rFonts w:hint="eastAsia" w:ascii="仿宋" w:hAnsi="仿宋" w:eastAsia="仿宋" w:cs="仿宋"/>
          <w:szCs w:val="24"/>
          <w:highlight w:val="none"/>
        </w:rPr>
        <w:t>保证金</w:t>
      </w:r>
      <w:r>
        <w:tab/>
      </w:r>
      <w:r>
        <w:fldChar w:fldCharType="begin"/>
      </w:r>
      <w:r>
        <w:instrText xml:space="preserve"> PAGEREF _Toc14550 \h </w:instrText>
      </w:r>
      <w:r>
        <w:fldChar w:fldCharType="separate"/>
      </w:r>
      <w:r>
        <w:t>11</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_Toc19123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四、响应文件的提交</w:t>
      </w:r>
      <w:r>
        <w:tab/>
      </w:r>
      <w:r>
        <w:fldChar w:fldCharType="begin"/>
      </w:r>
      <w:r>
        <w:instrText xml:space="preserve"> PAGEREF _Toc19123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_Toc18720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响应文件的密封与标记</w:t>
      </w:r>
      <w:r>
        <w:tab/>
      </w:r>
      <w:r>
        <w:fldChar w:fldCharType="begin"/>
      </w:r>
      <w:r>
        <w:instrText xml:space="preserve"> PAGEREF _Toc18720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_Toc13500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递交响应文件的截止时间和地点</w:t>
      </w:r>
      <w:r>
        <w:tab/>
      </w:r>
      <w:r>
        <w:fldChar w:fldCharType="begin"/>
      </w:r>
      <w:r>
        <w:instrText xml:space="preserve"> PAGEREF _Toc13500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_Toc29805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五、比选与评审</w:t>
      </w:r>
      <w:r>
        <w:tab/>
      </w:r>
      <w:r>
        <w:fldChar w:fldCharType="begin"/>
      </w:r>
      <w:r>
        <w:instrText xml:space="preserve"> PAGEREF _Toc29805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_Toc18495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比选</w:t>
      </w:r>
      <w:r>
        <w:tab/>
      </w:r>
      <w:r>
        <w:fldChar w:fldCharType="begin"/>
      </w:r>
      <w:r>
        <w:instrText xml:space="preserve"> PAGEREF _Toc18495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_Toc1227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评审</w:t>
      </w:r>
      <w:r>
        <w:tab/>
      </w:r>
      <w:r>
        <w:fldChar w:fldCharType="begin"/>
      </w:r>
      <w:r>
        <w:instrText xml:space="preserve"> PAGEREF _Toc1227 \h </w:instrText>
      </w:r>
      <w:r>
        <w:fldChar w:fldCharType="separate"/>
      </w:r>
      <w:r>
        <w:t>12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_Toc5391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评审过程的保密</w:t>
      </w:r>
      <w:r>
        <w:tab/>
      </w:r>
      <w:r>
        <w:fldChar w:fldCharType="begin"/>
      </w:r>
      <w:r>
        <w:instrText xml:space="preserve"> PAGEREF _Toc5391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_Toc2235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出现下列情形之一的，项目终止：</w:t>
      </w:r>
      <w:r>
        <w:tab/>
      </w:r>
      <w:r>
        <w:fldChar w:fldCharType="begin"/>
      </w:r>
      <w:r>
        <w:instrText xml:space="preserve"> PAGEREF _Toc2235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_Toc7613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六、中标结果</w:t>
      </w:r>
      <w:r>
        <w:tab/>
      </w:r>
      <w:r>
        <w:fldChar w:fldCharType="begin"/>
      </w:r>
      <w:r>
        <w:instrText xml:space="preserve"> PAGEREF _Toc7613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_Toc13909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中标候选人的确定</w:t>
      </w:r>
      <w:r>
        <w:tab/>
      </w:r>
      <w:r>
        <w:fldChar w:fldCharType="begin"/>
      </w:r>
      <w:r>
        <w:instrText xml:space="preserve"> PAGEREF _Toc13909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_Toc11941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中标通知书</w:t>
      </w:r>
      <w:r>
        <w:tab/>
      </w:r>
      <w:r>
        <w:fldChar w:fldCharType="begin"/>
      </w:r>
      <w:r>
        <w:instrText xml:space="preserve"> PAGEREF _Toc11941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_Toc25757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3. </w:t>
      </w:r>
      <w:r>
        <w:rPr>
          <w:rFonts w:hint="eastAsia" w:ascii="仿宋" w:hAnsi="仿宋" w:eastAsia="仿宋" w:cs="仿宋"/>
          <w:szCs w:val="24"/>
          <w:highlight w:val="none"/>
        </w:rPr>
        <w:t>签订合同</w:t>
      </w:r>
      <w:r>
        <w:tab/>
      </w:r>
      <w:r>
        <w:fldChar w:fldCharType="begin"/>
      </w:r>
      <w:r>
        <w:instrText xml:space="preserve"> PAGEREF _Toc25757 \h </w:instrText>
      </w:r>
      <w:r>
        <w:fldChar w:fldCharType="separate"/>
      </w:r>
      <w:r>
        <w:t>13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_Toc30314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4. </w:t>
      </w:r>
      <w:r>
        <w:rPr>
          <w:rFonts w:hint="eastAsia" w:ascii="仿宋" w:hAnsi="仿宋" w:eastAsia="仿宋" w:cs="仿宋"/>
          <w:szCs w:val="24"/>
          <w:highlight w:val="none"/>
        </w:rPr>
        <w:t>履约保证金</w:t>
      </w:r>
      <w:r>
        <w:rPr>
          <w:rFonts w:hint="eastAsia" w:ascii="仿宋" w:hAnsi="仿宋" w:eastAsia="仿宋" w:cs="仿宋"/>
          <w:szCs w:val="24"/>
          <w:highlight w:val="none"/>
          <w:lang w:eastAsia="zh-CN"/>
        </w:rPr>
        <w:t>（</w:t>
      </w:r>
      <w:r>
        <w:rPr>
          <w:rFonts w:hint="eastAsia" w:ascii="仿宋" w:hAnsi="仿宋" w:eastAsia="仿宋" w:cs="仿宋"/>
          <w:szCs w:val="24"/>
          <w:highlight w:val="none"/>
          <w:lang w:val="en-US" w:eastAsia="zh-CN"/>
        </w:rPr>
        <w:t>本项目不涉及</w:t>
      </w:r>
      <w:r>
        <w:rPr>
          <w:rFonts w:hint="eastAsia" w:ascii="仿宋" w:hAnsi="仿宋" w:eastAsia="仿宋" w:cs="仿宋"/>
          <w:szCs w:val="24"/>
          <w:highlight w:val="none"/>
          <w:lang w:eastAsia="zh-CN"/>
        </w:rPr>
        <w:t>）</w:t>
      </w:r>
      <w:r>
        <w:tab/>
      </w:r>
      <w:r>
        <w:fldChar w:fldCharType="begin"/>
      </w:r>
      <w:r>
        <w:instrText xml:space="preserve"> PAGEREF _Toc30314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_Toc13463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七、其他事项</w:t>
      </w:r>
      <w:r>
        <w:tab/>
      </w:r>
      <w:r>
        <w:fldChar w:fldCharType="begin"/>
      </w:r>
      <w:r>
        <w:instrText xml:space="preserve"> PAGEREF _Toc13463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_Toc13123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1. </w:t>
      </w:r>
      <w:r>
        <w:rPr>
          <w:rFonts w:hint="eastAsia" w:ascii="仿宋" w:hAnsi="仿宋" w:eastAsia="仿宋" w:cs="仿宋"/>
          <w:szCs w:val="24"/>
          <w:highlight w:val="none"/>
        </w:rPr>
        <w:t>质疑和投诉</w:t>
      </w:r>
      <w:r>
        <w:tab/>
      </w:r>
      <w:r>
        <w:fldChar w:fldCharType="begin"/>
      </w:r>
      <w:r>
        <w:instrText xml:space="preserve"> PAGEREF _Toc13123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_Toc4054 </w:instrText>
      </w:r>
      <w:r>
        <w:rPr>
          <w:rFonts w:hint="eastAsia" w:ascii="仿宋" w:hAnsi="仿宋" w:eastAsia="仿宋" w:cs="仿宋"/>
          <w:szCs w:val="32"/>
          <w:highlight w:val="none"/>
        </w:rPr>
        <w:fldChar w:fldCharType="separate"/>
      </w:r>
      <w:r>
        <w:rPr>
          <w:rFonts w:hint="default" w:ascii="仿宋" w:hAnsi="仿宋" w:eastAsia="仿宋" w:cs="仿宋"/>
          <w:szCs w:val="24"/>
        </w:rPr>
        <w:t xml:space="preserve">2. </w:t>
      </w:r>
      <w:r>
        <w:rPr>
          <w:rFonts w:hint="eastAsia" w:ascii="仿宋" w:hAnsi="仿宋" w:eastAsia="仿宋" w:cs="仿宋"/>
          <w:szCs w:val="24"/>
          <w:highlight w:val="none"/>
        </w:rPr>
        <w:t>中标服务费</w:t>
      </w:r>
      <w:r>
        <w:tab/>
      </w:r>
      <w:r>
        <w:fldChar w:fldCharType="begin"/>
      </w:r>
      <w:r>
        <w:instrText xml:space="preserve"> PAGEREF _Toc4054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_Toc9162 </w:instrText>
      </w:r>
      <w:r>
        <w:rPr>
          <w:rFonts w:hint="eastAsia" w:ascii="仿宋" w:hAnsi="仿宋" w:eastAsia="仿宋" w:cs="仿宋"/>
          <w:szCs w:val="32"/>
          <w:highlight w:val="none"/>
        </w:rPr>
        <w:fldChar w:fldCharType="separate"/>
      </w:r>
      <w:r>
        <w:rPr>
          <w:rFonts w:hint="default" w:ascii="仿宋" w:hAnsi="仿宋" w:eastAsia="仿宋" w:cs="仿宋"/>
          <w:szCs w:val="24"/>
          <w:lang w:val="en-US" w:eastAsia="zh-CN"/>
        </w:rPr>
        <w:t xml:space="preserve">3. </w:t>
      </w:r>
      <w:r>
        <w:rPr>
          <w:rFonts w:hint="eastAsia" w:ascii="仿宋" w:hAnsi="仿宋" w:eastAsia="仿宋" w:cs="仿宋"/>
          <w:szCs w:val="24"/>
          <w:highlight w:val="none"/>
          <w:lang w:val="en-US" w:eastAsia="zh-CN"/>
        </w:rPr>
        <w:t>需要补充的其他内容</w:t>
      </w:r>
      <w:r>
        <w:tab/>
      </w:r>
      <w:r>
        <w:fldChar w:fldCharType="begin"/>
      </w:r>
      <w:r>
        <w:instrText xml:space="preserve"> PAGEREF _Toc9162 \h </w:instrText>
      </w:r>
      <w:r>
        <w:fldChar w:fldCharType="separate"/>
      </w:r>
      <w:r>
        <w:t>14</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_Toc4246 </w:instrText>
      </w:r>
      <w:r>
        <w:rPr>
          <w:rFonts w:hint="eastAsia" w:ascii="仿宋" w:hAnsi="仿宋" w:eastAsia="仿宋" w:cs="仿宋"/>
          <w:szCs w:val="32"/>
          <w:highlight w:val="none"/>
        </w:rPr>
        <w:fldChar w:fldCharType="separate"/>
      </w:r>
      <w:r>
        <w:rPr>
          <w:rFonts w:hint="eastAsia" w:ascii="仿宋" w:hAnsi="仿宋" w:eastAsia="仿宋" w:cs="仿宋"/>
          <w:bCs/>
          <w:kern w:val="0"/>
          <w:szCs w:val="32"/>
          <w:highlight w:val="none"/>
        </w:rPr>
        <w:t>第三章  响应文件格式</w:t>
      </w:r>
      <w:r>
        <w:tab/>
      </w:r>
      <w:r>
        <w:fldChar w:fldCharType="begin"/>
      </w:r>
      <w:r>
        <w:instrText xml:space="preserve"> PAGEREF _Toc4246 \h </w:instrText>
      </w:r>
      <w:r>
        <w:fldChar w:fldCharType="separate"/>
      </w:r>
      <w:r>
        <w:t>15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_Toc7981 </w:instrText>
      </w:r>
      <w:r>
        <w:rPr>
          <w:rFonts w:hint="eastAsia" w:ascii="仿宋" w:hAnsi="仿宋" w:eastAsia="仿宋" w:cs="仿宋"/>
          <w:szCs w:val="32"/>
          <w:highlight w:val="none"/>
        </w:rPr>
        <w:fldChar w:fldCharType="separate"/>
      </w:r>
      <w:r>
        <w:rPr>
          <w:rFonts w:hint="eastAsia" w:ascii="仿宋" w:hAnsi="仿宋" w:eastAsia="仿宋" w:cs="仿宋"/>
          <w:bCs/>
          <w:szCs w:val="32"/>
          <w:highlight w:val="none"/>
          <w:lang w:val="en-US" w:eastAsia="zh-CN"/>
        </w:rPr>
        <w:t>开标</w:t>
      </w:r>
      <w:r>
        <w:rPr>
          <w:rFonts w:hint="eastAsia" w:ascii="仿宋" w:hAnsi="仿宋" w:eastAsia="仿宋" w:cs="仿宋"/>
          <w:bCs/>
          <w:szCs w:val="32"/>
          <w:highlight w:val="none"/>
        </w:rPr>
        <w:t>一览表</w:t>
      </w:r>
      <w:r>
        <w:tab/>
      </w:r>
      <w:r>
        <w:fldChar w:fldCharType="begin"/>
      </w:r>
      <w:r>
        <w:instrText xml:space="preserve"> PAGEREF _Toc7981 \h </w:instrText>
      </w:r>
      <w:r>
        <w:fldChar w:fldCharType="separate"/>
      </w:r>
      <w:r>
        <w:t>17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_Toc18343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rPr>
        <w:t>第一部分 投标文件资格审查部分格式</w:t>
      </w:r>
      <w:r>
        <w:tab/>
      </w:r>
      <w:r>
        <w:fldChar w:fldCharType="begin"/>
      </w:r>
      <w:r>
        <w:instrText xml:space="preserve"> PAGEREF _Toc18343 \h </w:instrText>
      </w:r>
      <w:r>
        <w:fldChar w:fldCharType="separate"/>
      </w:r>
      <w:r>
        <w:t>19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_Toc6124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一、投标人基本情况表</w:t>
      </w:r>
      <w:r>
        <w:tab/>
      </w:r>
      <w:r>
        <w:fldChar w:fldCharType="begin"/>
      </w:r>
      <w:r>
        <w:instrText xml:space="preserve"> PAGEREF _Toc6124 \h </w:instrText>
      </w:r>
      <w:r>
        <w:fldChar w:fldCharType="separate"/>
      </w:r>
      <w:r>
        <w:t>19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_Toc14002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二、法定代表人身份证明及授权委托书</w:t>
      </w:r>
      <w:r>
        <w:tab/>
      </w:r>
      <w:r>
        <w:fldChar w:fldCharType="begin"/>
      </w:r>
      <w:r>
        <w:instrText xml:space="preserve"> PAGEREF _Toc14002 \h </w:instrText>
      </w:r>
      <w:r>
        <w:fldChar w:fldCharType="separate"/>
      </w:r>
      <w:r>
        <w:t>20</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_Toc9614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三、</w:t>
      </w:r>
      <w:r>
        <w:rPr>
          <w:rFonts w:hint="eastAsia" w:ascii="仿宋" w:hAnsi="仿宋" w:eastAsia="仿宋" w:cs="仿宋"/>
          <w:szCs w:val="28"/>
          <w:highlight w:val="none"/>
        </w:rPr>
        <w:t>财务状况</w:t>
      </w:r>
      <w:r>
        <w:tab/>
      </w:r>
      <w:r>
        <w:fldChar w:fldCharType="begin"/>
      </w:r>
      <w:r>
        <w:instrText xml:space="preserve"> PAGEREF _Toc9614 \h </w:instrText>
      </w:r>
      <w:r>
        <w:fldChar w:fldCharType="separate"/>
      </w:r>
      <w:r>
        <w:t>22</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_Toc18848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lang w:val="en-US" w:eastAsia="zh-CN"/>
        </w:rPr>
        <w:t>四</w:t>
      </w:r>
      <w:r>
        <w:rPr>
          <w:rFonts w:hint="eastAsia" w:ascii="仿宋" w:hAnsi="仿宋" w:eastAsia="仿宋" w:cs="仿宋"/>
          <w:szCs w:val="28"/>
          <w:highlight w:val="none"/>
        </w:rPr>
        <w:t>、投标人信誉情况</w:t>
      </w:r>
      <w:r>
        <w:tab/>
      </w:r>
      <w:r>
        <w:fldChar w:fldCharType="begin"/>
      </w:r>
      <w:r>
        <w:instrText xml:space="preserve"> PAGEREF _Toc18848 \h </w:instrText>
      </w:r>
      <w:r>
        <w:fldChar w:fldCharType="separate"/>
      </w:r>
      <w:r>
        <w:t>23</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_Toc21743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lang w:val="en-US" w:eastAsia="zh-CN"/>
        </w:rPr>
        <w:t>五、投标人承诺书</w:t>
      </w:r>
      <w:r>
        <w:tab/>
      </w:r>
      <w:r>
        <w:fldChar w:fldCharType="begin"/>
      </w:r>
      <w:r>
        <w:instrText xml:space="preserve"> PAGEREF _Toc21743 \h </w:instrText>
      </w:r>
      <w:r>
        <w:fldChar w:fldCharType="separate"/>
      </w:r>
      <w:r>
        <w:t>24</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_Toc12321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lang w:val="en-US" w:eastAsia="zh-CN"/>
        </w:rPr>
        <w:t>六</w:t>
      </w:r>
      <w:r>
        <w:rPr>
          <w:rFonts w:hint="eastAsia" w:ascii="仿宋" w:hAnsi="仿宋" w:eastAsia="仿宋" w:cs="仿宋"/>
          <w:szCs w:val="28"/>
          <w:highlight w:val="none"/>
        </w:rPr>
        <w:t>、其他材料</w:t>
      </w:r>
      <w:r>
        <w:tab/>
      </w:r>
      <w:r>
        <w:fldChar w:fldCharType="begin"/>
      </w:r>
      <w:r>
        <w:instrText xml:space="preserve"> PAGEREF _Toc12321 \h </w:instrText>
      </w:r>
      <w:r>
        <w:fldChar w:fldCharType="separate"/>
      </w:r>
      <w:r>
        <w:t>25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_Toc15385 </w:instrText>
      </w:r>
      <w:r>
        <w:rPr>
          <w:rFonts w:hint="eastAsia" w:ascii="仿宋" w:hAnsi="仿宋" w:eastAsia="仿宋" w:cs="仿宋"/>
          <w:szCs w:val="32"/>
          <w:highlight w:val="none"/>
        </w:rPr>
        <w:fldChar w:fldCharType="separate"/>
      </w:r>
      <w:r>
        <w:rPr>
          <w:rFonts w:hint="eastAsia" w:ascii="仿宋" w:hAnsi="仿宋" w:eastAsia="仿宋" w:cs="仿宋"/>
          <w:bCs/>
          <w:kern w:val="2"/>
          <w:szCs w:val="28"/>
          <w:highlight w:val="none"/>
          <w:lang w:val="en-US" w:eastAsia="zh-CN" w:bidi="ar-SA"/>
        </w:rPr>
        <w:t>第二部分 投标文件服务部分格式</w:t>
      </w:r>
      <w:r>
        <w:tab/>
      </w:r>
      <w:r>
        <w:fldChar w:fldCharType="begin"/>
      </w:r>
      <w:r>
        <w:instrText xml:space="preserve"> PAGEREF _Toc15385 \h </w:instrText>
      </w:r>
      <w:r>
        <w:fldChar w:fldCharType="separate"/>
      </w:r>
      <w:r>
        <w:t>26</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_Toc16565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一、投标报价一览表</w:t>
      </w:r>
      <w:r>
        <w:tab/>
      </w:r>
      <w:r>
        <w:fldChar w:fldCharType="begin"/>
      </w:r>
      <w:r>
        <w:instrText xml:space="preserve"> PAGEREF _Toc16565 \h </w:instrText>
      </w:r>
      <w:r>
        <w:fldChar w:fldCharType="separate"/>
      </w:r>
      <w:r>
        <w:t>26</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_Toc30149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二、分项报价表</w:t>
      </w:r>
      <w:r>
        <w:tab/>
      </w:r>
      <w:r>
        <w:fldChar w:fldCharType="begin"/>
      </w:r>
      <w:r>
        <w:instrText xml:space="preserve"> PAGEREF _Toc30149 \h </w:instrText>
      </w:r>
      <w:r>
        <w:fldChar w:fldCharType="separate"/>
      </w:r>
      <w:r>
        <w:t>27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_Toc6300 </w:instrText>
      </w:r>
      <w:r>
        <w:rPr>
          <w:rFonts w:hint="eastAsia" w:ascii="仿宋" w:hAnsi="仿宋" w:eastAsia="仿宋" w:cs="仿宋"/>
          <w:szCs w:val="32"/>
          <w:highlight w:val="none"/>
        </w:rPr>
        <w:fldChar w:fldCharType="separate"/>
      </w:r>
      <w:r>
        <w:rPr>
          <w:rFonts w:hint="eastAsia" w:ascii="仿宋" w:hAnsi="仿宋" w:eastAsia="仿宋" w:cs="仿宋"/>
          <w:bCs/>
          <w:kern w:val="2"/>
          <w:szCs w:val="28"/>
          <w:highlight w:val="none"/>
          <w:lang w:val="en-US" w:eastAsia="zh-CN" w:bidi="ar-SA"/>
        </w:rPr>
        <w:t>第三部分 投标文件技术、服务部分格式</w:t>
      </w:r>
      <w:r>
        <w:tab/>
      </w:r>
      <w:r>
        <w:fldChar w:fldCharType="begin"/>
      </w:r>
      <w:r>
        <w:instrText xml:space="preserve"> PAGEREF _Toc6300 \h </w:instrText>
      </w:r>
      <w:r>
        <w:fldChar w:fldCharType="separate"/>
      </w:r>
      <w:r>
        <w:t>28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_Toc2545 </w:instrText>
      </w:r>
      <w:r>
        <w:rPr>
          <w:rFonts w:hint="eastAsia" w:ascii="仿宋" w:hAnsi="仿宋" w:eastAsia="仿宋" w:cs="仿宋"/>
          <w:szCs w:val="32"/>
          <w:highlight w:val="none"/>
        </w:rPr>
        <w:fldChar w:fldCharType="separate"/>
      </w:r>
      <w:r>
        <w:rPr>
          <w:rFonts w:hint="eastAsia" w:ascii="仿宋" w:hAnsi="仿宋" w:eastAsia="仿宋" w:cs="仿宋"/>
          <w:bCs/>
          <w:spacing w:val="0"/>
          <w:szCs w:val="28"/>
          <w:highlight w:val="none"/>
          <w:lang w:val="en-US" w:eastAsia="zh-CN"/>
        </w:rPr>
        <w:t>一、</w:t>
      </w:r>
      <w:r>
        <w:rPr>
          <w:rFonts w:hint="eastAsia" w:ascii="仿宋" w:hAnsi="仿宋" w:eastAsia="仿宋" w:cs="仿宋"/>
          <w:bCs/>
          <w:spacing w:val="0"/>
          <w:szCs w:val="28"/>
          <w:highlight w:val="none"/>
          <w:lang w:eastAsia="zh-CN"/>
        </w:rPr>
        <w:t>产品技术参数指标响应</w:t>
      </w:r>
      <w:r>
        <w:tab/>
      </w:r>
      <w:r>
        <w:fldChar w:fldCharType="begin"/>
      </w:r>
      <w:r>
        <w:instrText xml:space="preserve"> PAGEREF _Toc2545 \h </w:instrText>
      </w:r>
      <w:r>
        <w:fldChar w:fldCharType="separate"/>
      </w:r>
      <w:r>
        <w:t>28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_Toc2196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二、</w:t>
      </w:r>
      <w:r>
        <w:rPr>
          <w:rFonts w:hint="eastAsia" w:ascii="仿宋" w:hAnsi="仿宋" w:eastAsia="仿宋" w:cs="仿宋"/>
          <w:bCs/>
          <w:szCs w:val="28"/>
          <w:highlight w:val="none"/>
        </w:rPr>
        <w:t>供货及</w:t>
      </w:r>
      <w:r>
        <w:rPr>
          <w:rFonts w:hint="eastAsia" w:ascii="仿宋" w:hAnsi="仿宋" w:eastAsia="仿宋" w:cs="仿宋"/>
          <w:bCs/>
          <w:szCs w:val="28"/>
          <w:highlight w:val="none"/>
          <w:lang w:val="en-US" w:eastAsia="zh-CN"/>
        </w:rPr>
        <w:t>配送</w:t>
      </w:r>
      <w:r>
        <w:rPr>
          <w:rFonts w:hint="eastAsia" w:ascii="仿宋" w:hAnsi="仿宋" w:eastAsia="仿宋" w:cs="仿宋"/>
          <w:bCs/>
          <w:szCs w:val="28"/>
          <w:highlight w:val="none"/>
        </w:rPr>
        <w:t>方案</w:t>
      </w:r>
      <w:r>
        <w:tab/>
      </w:r>
      <w:r>
        <w:fldChar w:fldCharType="begin"/>
      </w:r>
      <w:r>
        <w:instrText xml:space="preserve"> PAGEREF _Toc2196 \h </w:instrText>
      </w:r>
      <w:r>
        <w:fldChar w:fldCharType="separate"/>
      </w:r>
      <w:r>
        <w:t>29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_Toc13367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三、售后服务、质保及违约</w:t>
      </w:r>
      <w:r>
        <w:tab/>
      </w:r>
      <w:r>
        <w:fldChar w:fldCharType="begin"/>
      </w:r>
      <w:r>
        <w:instrText xml:space="preserve"> PAGEREF _Toc13367 \h </w:instrText>
      </w:r>
      <w:r>
        <w:fldChar w:fldCharType="separate"/>
      </w:r>
      <w:r>
        <w:t>29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_Toc7256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四、类似供货案例</w:t>
      </w:r>
      <w:r>
        <w:tab/>
      </w:r>
      <w:r>
        <w:fldChar w:fldCharType="begin"/>
      </w:r>
      <w:r>
        <w:instrText xml:space="preserve"> PAGEREF _Toc7256 \h </w:instrText>
      </w:r>
      <w:r>
        <w:fldChar w:fldCharType="separate"/>
      </w:r>
      <w:r>
        <w:t>29</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_Toc15814 </w:instrText>
      </w:r>
      <w:r>
        <w:rPr>
          <w:rFonts w:hint="eastAsia" w:ascii="仿宋" w:hAnsi="仿宋" w:eastAsia="仿宋" w:cs="仿宋"/>
          <w:szCs w:val="32"/>
          <w:highlight w:val="none"/>
        </w:rPr>
        <w:fldChar w:fldCharType="separate"/>
      </w:r>
      <w:r>
        <w:rPr>
          <w:rFonts w:hint="eastAsia" w:ascii="仿宋" w:hAnsi="仿宋" w:eastAsia="仿宋" w:cs="仿宋"/>
          <w:bCs/>
          <w:szCs w:val="28"/>
          <w:highlight w:val="none"/>
          <w:lang w:val="en-US" w:eastAsia="zh-CN"/>
        </w:rPr>
        <w:t>五、投标人认为须提供的其他技术文件，格式自拟。</w:t>
      </w:r>
      <w:r>
        <w:tab/>
      </w:r>
      <w:r>
        <w:fldChar w:fldCharType="begin"/>
      </w:r>
      <w:r>
        <w:instrText xml:space="preserve"> PAGEREF _Toc15814 \h </w:instrText>
      </w:r>
      <w:r>
        <w:fldChar w:fldCharType="separate"/>
      </w:r>
      <w:r>
        <w:t>29</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_Toc15158 </w:instrText>
      </w:r>
      <w:r>
        <w:rPr>
          <w:rFonts w:hint="eastAsia" w:ascii="仿宋" w:hAnsi="仿宋" w:eastAsia="仿宋" w:cs="仿宋"/>
          <w:szCs w:val="32"/>
          <w:highlight w:val="none"/>
        </w:rPr>
        <w:fldChar w:fldCharType="separate"/>
      </w:r>
      <w:r>
        <w:rPr>
          <w:rFonts w:hint="eastAsia" w:ascii="仿宋" w:hAnsi="仿宋" w:eastAsia="仿宋" w:cs="仿宋"/>
          <w:bCs/>
          <w:kern w:val="0"/>
          <w:szCs w:val="32"/>
          <w:highlight w:val="none"/>
          <w:lang w:val="en-US" w:eastAsia="zh-CN" w:bidi="ar-SA"/>
        </w:rPr>
        <w:t>第四章</w:t>
      </w:r>
      <w:r>
        <w:rPr>
          <w:rFonts w:hint="eastAsia" w:ascii="仿宋" w:hAnsi="仿宋" w:eastAsia="仿宋" w:cs="仿宋"/>
          <w:szCs w:val="32"/>
          <w:highlight w:val="none"/>
        </w:rPr>
        <w:t xml:space="preserve"> 项目需求</w:t>
      </w:r>
      <w:r>
        <w:tab/>
      </w:r>
      <w:r>
        <w:fldChar w:fldCharType="begin"/>
      </w:r>
      <w:r>
        <w:instrText xml:space="preserve"> PAGEREF _Toc15158 \h </w:instrText>
      </w:r>
      <w:r>
        <w:fldChar w:fldCharType="separate"/>
      </w:r>
      <w:r>
        <w:t>30</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_Toc4137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一、采购标的需实现的功能或者目标；</w:t>
      </w:r>
      <w:r>
        <w:tab/>
      </w:r>
      <w:r>
        <w:fldChar w:fldCharType="begin"/>
      </w:r>
      <w:r>
        <w:instrText xml:space="preserve"> PAGEREF _Toc4137 \h </w:instrText>
      </w:r>
      <w:r>
        <w:fldChar w:fldCharType="separate"/>
      </w:r>
      <w:r>
        <w:t>30</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_Toc4664 </w:instrText>
      </w:r>
      <w:r>
        <w:rPr>
          <w:rFonts w:hint="eastAsia" w:ascii="仿宋" w:hAnsi="仿宋" w:eastAsia="仿宋" w:cs="仿宋"/>
          <w:szCs w:val="32"/>
          <w:highlight w:val="none"/>
        </w:rPr>
        <w:fldChar w:fldCharType="separate"/>
      </w:r>
      <w:r>
        <w:rPr>
          <w:rFonts w:hint="eastAsia" w:ascii="仿宋" w:hAnsi="仿宋" w:eastAsia="仿宋" w:cs="仿宋"/>
          <w:spacing w:val="-6"/>
          <w:szCs w:val="21"/>
          <w:highlight w:val="none"/>
        </w:rPr>
        <w:t>二、采购标的需执行的国家相关标准、行业标准、地方标准或者其他标准、规范；</w:t>
      </w:r>
      <w:r>
        <w:tab/>
      </w:r>
      <w:r>
        <w:fldChar w:fldCharType="begin"/>
      </w:r>
      <w:r>
        <w:instrText xml:space="preserve"> PAGEREF _Toc4664 \h </w:instrText>
      </w:r>
      <w:r>
        <w:fldChar w:fldCharType="separate"/>
      </w:r>
      <w:r>
        <w:t>30</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_Toc3905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三、采购标的需满足的质量、安全、技术规格、物理特性等要求；</w:t>
      </w:r>
      <w:r>
        <w:tab/>
      </w:r>
      <w:r>
        <w:fldChar w:fldCharType="begin"/>
      </w:r>
      <w:r>
        <w:instrText xml:space="preserve"> PAGEREF _Toc3905 \h </w:instrText>
      </w:r>
      <w:r>
        <w:fldChar w:fldCharType="separate"/>
      </w:r>
      <w:r>
        <w:t>30</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_Toc15540 </w:instrText>
      </w:r>
      <w:r>
        <w:rPr>
          <w:rFonts w:hint="eastAsia" w:ascii="仿宋" w:hAnsi="仿宋" w:eastAsia="仿宋" w:cs="仿宋"/>
          <w:szCs w:val="32"/>
          <w:highlight w:val="none"/>
        </w:rPr>
        <w:fldChar w:fldCharType="separate"/>
      </w:r>
      <w:r>
        <w:rPr>
          <w:rFonts w:hint="eastAsia" w:ascii="仿宋" w:hAnsi="仿宋" w:eastAsia="仿宋" w:cs="仿宋"/>
          <w:bCs/>
          <w:kern w:val="0"/>
          <w:highlight w:val="none"/>
        </w:rPr>
        <w:t>四、采购标的的数量、采购项目交付或者实施的时间和地点</w:t>
      </w:r>
      <w:r>
        <w:tab/>
      </w:r>
      <w:r>
        <w:fldChar w:fldCharType="begin"/>
      </w:r>
      <w:r>
        <w:instrText xml:space="preserve"> PAGEREF _Toc15540 \h </w:instrText>
      </w:r>
      <w:r>
        <w:fldChar w:fldCharType="separate"/>
      </w:r>
      <w:r>
        <w:t>32</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_Toc31776 </w:instrText>
      </w:r>
      <w:r>
        <w:rPr>
          <w:rFonts w:hint="eastAsia" w:ascii="仿宋" w:hAnsi="仿宋" w:eastAsia="仿宋" w:cs="仿宋"/>
          <w:szCs w:val="32"/>
          <w:highlight w:val="none"/>
        </w:rPr>
        <w:fldChar w:fldCharType="separate"/>
      </w:r>
      <w:r>
        <w:rPr>
          <w:rFonts w:hint="eastAsia" w:ascii="仿宋" w:hAnsi="仿宋" w:eastAsia="仿宋" w:cs="仿宋"/>
          <w:bCs/>
          <w:kern w:val="0"/>
          <w:highlight w:val="none"/>
        </w:rPr>
        <w:t>五、采购标的需满足的服务标准、期限、效率等要求</w:t>
      </w:r>
      <w:r>
        <w:tab/>
      </w:r>
      <w:r>
        <w:fldChar w:fldCharType="begin"/>
      </w:r>
      <w:r>
        <w:instrText xml:space="preserve"> PAGEREF _Toc31776 \h </w:instrText>
      </w:r>
      <w:r>
        <w:fldChar w:fldCharType="separate"/>
      </w:r>
      <w:r>
        <w:t>32</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_Toc1601 </w:instrText>
      </w:r>
      <w:r>
        <w:rPr>
          <w:rFonts w:hint="eastAsia" w:ascii="仿宋" w:hAnsi="仿宋" w:eastAsia="仿宋" w:cs="仿宋"/>
          <w:szCs w:val="32"/>
          <w:highlight w:val="none"/>
        </w:rPr>
        <w:fldChar w:fldCharType="separate"/>
      </w:r>
      <w:r>
        <w:rPr>
          <w:rFonts w:hint="eastAsia" w:ascii="仿宋" w:hAnsi="仿宋" w:eastAsia="仿宋" w:cs="仿宋"/>
          <w:bCs/>
          <w:kern w:val="0"/>
          <w:highlight w:val="none"/>
        </w:rPr>
        <w:t>六、采购标的的验收标准</w:t>
      </w:r>
      <w:r>
        <w:tab/>
      </w:r>
      <w:r>
        <w:fldChar w:fldCharType="begin"/>
      </w:r>
      <w:r>
        <w:instrText xml:space="preserve"> PAGEREF _Toc1601 \h </w:instrText>
      </w:r>
      <w:r>
        <w:fldChar w:fldCharType="separate"/>
      </w:r>
      <w:r>
        <w:t>33</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_Toc28579 </w:instrText>
      </w:r>
      <w:r>
        <w:rPr>
          <w:rFonts w:hint="eastAsia" w:ascii="仿宋" w:hAnsi="仿宋" w:eastAsia="仿宋" w:cs="仿宋"/>
          <w:szCs w:val="32"/>
          <w:highlight w:val="none"/>
        </w:rPr>
        <w:fldChar w:fldCharType="separate"/>
      </w:r>
      <w:r>
        <w:rPr>
          <w:rFonts w:hint="eastAsia" w:ascii="仿宋" w:hAnsi="仿宋" w:eastAsia="仿宋" w:cs="仿宋"/>
          <w:bCs/>
          <w:kern w:val="0"/>
          <w:highlight w:val="none"/>
        </w:rPr>
        <w:t>七、采购标的的其他技术、服务等要求</w:t>
      </w:r>
      <w:r>
        <w:tab/>
      </w:r>
      <w:r>
        <w:fldChar w:fldCharType="begin"/>
      </w:r>
      <w:r>
        <w:instrText xml:space="preserve"> PAGEREF _Toc28579 \h </w:instrText>
      </w:r>
      <w:r>
        <w:fldChar w:fldCharType="separate"/>
      </w:r>
      <w:r>
        <w:t>33</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_Toc14685 </w:instrText>
      </w:r>
      <w:r>
        <w:rPr>
          <w:rFonts w:hint="eastAsia" w:ascii="仿宋" w:hAnsi="仿宋" w:eastAsia="仿宋" w:cs="仿宋"/>
          <w:szCs w:val="32"/>
          <w:highlight w:val="none"/>
        </w:rPr>
        <w:fldChar w:fldCharType="separate"/>
      </w:r>
      <w:r>
        <w:rPr>
          <w:rFonts w:hint="eastAsia" w:ascii="仿宋" w:hAnsi="仿宋" w:eastAsia="仿宋" w:cs="仿宋"/>
          <w:bCs/>
          <w:kern w:val="0"/>
          <w:szCs w:val="32"/>
          <w:highlight w:val="none"/>
          <w:lang w:val="en-US" w:eastAsia="zh-CN" w:bidi="ar-SA"/>
        </w:rPr>
        <w:t>第五章</w:t>
      </w:r>
      <w:r>
        <w:rPr>
          <w:rFonts w:hint="eastAsia" w:ascii="仿宋" w:hAnsi="仿宋" w:eastAsia="仿宋" w:cs="仿宋"/>
          <w:szCs w:val="32"/>
          <w:highlight w:val="none"/>
        </w:rPr>
        <w:t xml:space="preserve"> 评审办法</w:t>
      </w:r>
      <w:r>
        <w:tab/>
      </w:r>
      <w:r>
        <w:fldChar w:fldCharType="begin"/>
      </w:r>
      <w:r>
        <w:instrText xml:space="preserve"> PAGEREF _Toc14685 \h </w:instrText>
      </w:r>
      <w:r>
        <w:fldChar w:fldCharType="separate"/>
      </w:r>
      <w:r>
        <w:t>34</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_Toc13057 </w:instrText>
      </w:r>
      <w:r>
        <w:rPr>
          <w:rFonts w:hint="eastAsia" w:ascii="仿宋" w:hAnsi="仿宋" w:eastAsia="仿宋" w:cs="仿宋"/>
          <w:szCs w:val="32"/>
          <w:highlight w:val="none"/>
        </w:rPr>
        <w:fldChar w:fldCharType="separate"/>
      </w:r>
      <w:r>
        <w:rPr>
          <w:rFonts w:hint="eastAsia" w:ascii="仿宋" w:hAnsi="仿宋" w:eastAsia="仿宋" w:cs="仿宋"/>
          <w:szCs w:val="28"/>
          <w:highlight w:val="none"/>
        </w:rPr>
        <w:t>评审程序和方法前附表</w:t>
      </w:r>
      <w:r>
        <w:tab/>
      </w:r>
      <w:r>
        <w:fldChar w:fldCharType="begin"/>
      </w:r>
      <w:r>
        <w:instrText xml:space="preserve"> PAGEREF _Toc13057 \h </w:instrText>
      </w:r>
      <w:r>
        <w:fldChar w:fldCharType="separate"/>
      </w:r>
      <w:r>
        <w:t>34</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_Toc18510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条款号</w:t>
      </w:r>
      <w:r>
        <w:tab/>
      </w:r>
      <w:r>
        <w:fldChar w:fldCharType="begin"/>
      </w:r>
      <w:r>
        <w:instrText xml:space="preserve"> PAGEREF _Toc18510 \h </w:instrText>
      </w:r>
      <w:r>
        <w:fldChar w:fldCharType="separate"/>
      </w:r>
      <w:r>
        <w:t>35</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_Toc11689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评分因素</w:t>
      </w:r>
      <w:r>
        <w:tab/>
      </w:r>
      <w:r>
        <w:fldChar w:fldCharType="begin"/>
      </w:r>
      <w:r>
        <w:instrText xml:space="preserve"> PAGEREF _Toc11689 \h </w:instrText>
      </w:r>
      <w:r>
        <w:fldChar w:fldCharType="separate"/>
      </w:r>
      <w:r>
        <w:t>35</w:t>
      </w:r>
      <w:r>
        <w:fldChar w:fldCharType="end"/>
      </w:r>
      <w:r>
        <w:rPr>
          <w:rFonts w:hint="eastAsia" w:ascii="仿宋" w:hAnsi="仿宋" w:eastAsia="仿宋" w:cs="仿宋"/>
          <w:color w:val="auto"/>
          <w:szCs w:val="32"/>
          <w:highlight w:val="none"/>
        </w:rPr>
        <w:fldChar w:fldCharType="end"/>
      </w:r>
    </w:p>
    <w:p>
      <w:pPr>
        <w:pStyle w:val="26"/>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_Toc18949 </w:instrText>
      </w:r>
      <w:r>
        <w:rPr>
          <w:rFonts w:hint="eastAsia" w:ascii="仿宋" w:hAnsi="仿宋" w:eastAsia="仿宋" w:cs="仿宋"/>
          <w:szCs w:val="32"/>
          <w:highlight w:val="none"/>
        </w:rPr>
        <w:fldChar w:fldCharType="separate"/>
      </w:r>
      <w:r>
        <w:rPr>
          <w:rFonts w:hint="eastAsia" w:ascii="仿宋" w:hAnsi="仿宋" w:eastAsia="仿宋" w:cs="仿宋"/>
          <w:szCs w:val="21"/>
          <w:highlight w:val="none"/>
        </w:rPr>
        <w:t>评分标准</w:t>
      </w:r>
      <w:r>
        <w:tab/>
      </w:r>
      <w:r>
        <w:fldChar w:fldCharType="begin"/>
      </w:r>
      <w:r>
        <w:instrText xml:space="preserve"> PAGEREF _Toc18949 \h </w:instrText>
      </w:r>
      <w:r>
        <w:fldChar w:fldCharType="separate"/>
      </w:r>
      <w:r>
        <w:t>35</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_Toc1035 </w:instrText>
      </w:r>
      <w:r>
        <w:rPr>
          <w:rFonts w:hint="eastAsia" w:ascii="仿宋" w:hAnsi="仿宋" w:eastAsia="仿宋" w:cs="仿宋"/>
          <w:szCs w:val="32"/>
          <w:highlight w:val="none"/>
        </w:rPr>
        <w:fldChar w:fldCharType="separate"/>
      </w:r>
      <w:r>
        <w:rPr>
          <w:rFonts w:hint="eastAsia" w:ascii="仿宋" w:hAnsi="仿宋" w:eastAsia="仿宋" w:cs="仿宋"/>
          <w:bCs/>
          <w:szCs w:val="24"/>
          <w:highlight w:val="none"/>
        </w:rPr>
        <w:t>1.比选方法：</w:t>
      </w:r>
      <w:r>
        <w:tab/>
      </w:r>
      <w:r>
        <w:fldChar w:fldCharType="begin"/>
      </w:r>
      <w:r>
        <w:instrText xml:space="preserve"> PAGEREF _Toc1035 \h </w:instrText>
      </w:r>
      <w:r>
        <w:fldChar w:fldCharType="separate"/>
      </w:r>
      <w:r>
        <w:t>37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_Toc569 </w:instrText>
      </w:r>
      <w:r>
        <w:rPr>
          <w:rFonts w:hint="eastAsia" w:ascii="仿宋" w:hAnsi="仿宋" w:eastAsia="仿宋" w:cs="仿宋"/>
          <w:szCs w:val="32"/>
          <w:highlight w:val="none"/>
        </w:rPr>
        <w:fldChar w:fldCharType="separate"/>
      </w:r>
      <w:r>
        <w:rPr>
          <w:rFonts w:hint="eastAsia" w:ascii="仿宋" w:hAnsi="仿宋" w:eastAsia="仿宋" w:cs="仿宋"/>
          <w:szCs w:val="24"/>
          <w:highlight w:val="none"/>
        </w:rPr>
        <w:t>2.评审标准</w:t>
      </w:r>
      <w:r>
        <w:tab/>
      </w:r>
      <w:r>
        <w:fldChar w:fldCharType="begin"/>
      </w:r>
      <w:r>
        <w:instrText xml:space="preserve"> PAGEREF _Toc569 \h </w:instrText>
      </w:r>
      <w:r>
        <w:fldChar w:fldCharType="separate"/>
      </w:r>
      <w:r>
        <w:t>37</w:t>
      </w:r>
      <w:r>
        <w:fldChar w:fldCharType="end"/>
      </w:r>
      <w:r>
        <w:rPr>
          <w:rFonts w:hint="eastAsia" w:ascii="仿宋" w:hAnsi="仿宋" w:eastAsia="仿宋" w:cs="仿宋"/>
          <w:color w:val="auto"/>
          <w:szCs w:val="32"/>
          <w:highlight w:val="none"/>
        </w:rPr>
        <w:fldChar w:fldCharType="end"/>
      </w:r>
    </w:p>
    <w:p>
      <w:pPr>
        <w:pStyle w:val="30"/>
        <w:tabs>
          <w:tab w:val="right" w:leader="dot" w:pos="952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_Toc26415 </w:instrText>
      </w:r>
      <w:r>
        <w:rPr>
          <w:rFonts w:hint="eastAsia" w:ascii="仿宋" w:hAnsi="仿宋" w:eastAsia="仿宋" w:cs="仿宋"/>
          <w:szCs w:val="32"/>
          <w:highlight w:val="none"/>
        </w:rPr>
        <w:fldChar w:fldCharType="separate"/>
      </w:r>
      <w:r>
        <w:rPr>
          <w:rFonts w:hint="eastAsia" w:ascii="仿宋" w:hAnsi="仿宋" w:eastAsia="仿宋" w:cs="仿宋"/>
          <w:szCs w:val="24"/>
          <w:highlight w:val="none"/>
        </w:rPr>
        <w:t>3. 评审程序</w:t>
      </w:r>
      <w:r>
        <w:tab/>
      </w:r>
      <w:r>
        <w:fldChar w:fldCharType="begin"/>
      </w:r>
      <w:r>
        <w:instrText xml:space="preserve"> PAGEREF _Toc26415 \h </w:instrText>
      </w:r>
      <w:r>
        <w:fldChar w:fldCharType="separate"/>
      </w:r>
      <w:r>
        <w:t>38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_Toc7290 </w:instrText>
      </w:r>
      <w:r>
        <w:rPr>
          <w:rFonts w:hint="eastAsia" w:ascii="仿宋" w:hAnsi="仿宋" w:eastAsia="仿宋" w:cs="仿宋"/>
          <w:szCs w:val="32"/>
          <w:highlight w:val="none"/>
        </w:rPr>
        <w:fldChar w:fldCharType="separate"/>
      </w:r>
      <w:r>
        <w:rPr>
          <w:rFonts w:hint="eastAsia" w:ascii="仿宋" w:hAnsi="仿宋" w:eastAsia="仿宋" w:cs="仿宋"/>
          <w:bCs/>
          <w:szCs w:val="22"/>
          <w:highlight w:val="none"/>
        </w:rPr>
        <w:t>3.2 详细评审</w:t>
      </w:r>
      <w:r>
        <w:tab/>
      </w:r>
      <w:r>
        <w:fldChar w:fldCharType="begin"/>
      </w:r>
      <w:r>
        <w:instrText xml:space="preserve"> PAGEREF _Toc7290 \h </w:instrText>
      </w:r>
      <w:r>
        <w:fldChar w:fldCharType="separate"/>
      </w:r>
      <w:r>
        <w:t>38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_Toc2051 </w:instrText>
      </w:r>
      <w:r>
        <w:rPr>
          <w:rFonts w:hint="eastAsia" w:ascii="仿宋" w:hAnsi="仿宋" w:eastAsia="仿宋" w:cs="仿宋"/>
          <w:szCs w:val="32"/>
          <w:highlight w:val="none"/>
        </w:rPr>
        <w:fldChar w:fldCharType="separate"/>
      </w:r>
      <w:r>
        <w:rPr>
          <w:rFonts w:hint="eastAsia" w:ascii="仿宋" w:hAnsi="仿宋" w:eastAsia="仿宋" w:cs="仿宋"/>
          <w:bCs/>
          <w:szCs w:val="22"/>
          <w:highlight w:val="none"/>
        </w:rPr>
        <w:t>3.3 响应文件的澄清</w:t>
      </w:r>
      <w:r>
        <w:tab/>
      </w:r>
      <w:r>
        <w:fldChar w:fldCharType="begin"/>
      </w:r>
      <w:r>
        <w:instrText xml:space="preserve"> PAGEREF _Toc2051 \h </w:instrText>
      </w:r>
      <w:r>
        <w:fldChar w:fldCharType="separate"/>
      </w:r>
      <w:r>
        <w:t>38</w:t>
      </w:r>
      <w:r>
        <w:fldChar w:fldCharType="end"/>
      </w:r>
      <w:r>
        <w:rPr>
          <w:rFonts w:hint="eastAsia" w:ascii="仿宋" w:hAnsi="仿宋" w:eastAsia="仿宋" w:cs="仿宋"/>
          <w:color w:val="auto"/>
          <w:szCs w:val="32"/>
          <w:highlight w:val="none"/>
        </w:rPr>
        <w:fldChar w:fldCharType="end"/>
      </w:r>
    </w:p>
    <w:p>
      <w:pPr>
        <w:pStyle w:val="18"/>
        <w:tabs>
          <w:tab w:val="right" w:leader="dot" w:pos="9525"/>
          <w:tab w:val="clear" w:pos="9515"/>
        </w:tabs>
      </w:pPr>
      <w:r>
        <w:rPr>
          <w:rFonts w:hint="eastAsia" w:ascii="仿宋" w:hAnsi="仿宋" w:eastAsia="仿宋" w:cs="仿宋"/>
          <w:color w:val="auto"/>
          <w:szCs w:val="32"/>
          <w:highlight w:val="none"/>
        </w:rPr>
        <w:fldChar w:fldCharType="begin"/>
      </w:r>
      <w:r>
        <w:rPr>
          <w:rFonts w:hint="eastAsia" w:ascii="仿宋" w:hAnsi="仿宋" w:eastAsia="仿宋" w:cs="仿宋"/>
          <w:szCs w:val="32"/>
          <w:highlight w:val="none"/>
        </w:rPr>
        <w:instrText xml:space="preserve"> HYPERLINK \l _Toc15198 </w:instrText>
      </w:r>
      <w:r>
        <w:rPr>
          <w:rFonts w:hint="eastAsia" w:ascii="仿宋" w:hAnsi="仿宋" w:eastAsia="仿宋" w:cs="仿宋"/>
          <w:szCs w:val="32"/>
          <w:highlight w:val="none"/>
        </w:rPr>
        <w:fldChar w:fldCharType="separate"/>
      </w:r>
      <w:r>
        <w:rPr>
          <w:rFonts w:hint="eastAsia" w:ascii="仿宋" w:hAnsi="仿宋" w:eastAsia="仿宋" w:cs="仿宋"/>
          <w:bCs/>
          <w:szCs w:val="22"/>
          <w:highlight w:val="none"/>
        </w:rPr>
        <w:t>3.4特殊情况的处置程序</w:t>
      </w:r>
      <w:r>
        <w:tab/>
      </w:r>
      <w:r>
        <w:fldChar w:fldCharType="begin"/>
      </w:r>
      <w:r>
        <w:instrText xml:space="preserve"> PAGEREF _Toc15198 \h </w:instrText>
      </w:r>
      <w:r>
        <w:fldChar w:fldCharType="separate"/>
      </w:r>
      <w:r>
        <w:t>39</w:t>
      </w:r>
      <w:r>
        <w:fldChar w:fldCharType="end"/>
      </w:r>
      <w:r>
        <w:rPr>
          <w:rFonts w:hint="eastAsia" w:ascii="仿宋" w:hAnsi="仿宋" w:eastAsia="仿宋" w:cs="仿宋"/>
          <w:color w:val="auto"/>
          <w:szCs w:val="32"/>
          <w:highlight w:val="none"/>
        </w:rPr>
        <w:fldChar w:fldCharType="end"/>
      </w:r>
    </w:p>
    <w:p>
      <w:pPr>
        <w:pStyle w:val="30"/>
        <w:tabs>
          <w:tab w:val="right" w:leader="dot" w:pos="9525"/>
        </w:tabs>
        <w:spacing w:line="600" w:lineRule="exact"/>
        <w:rPr>
          <w:rFonts w:hint="eastAsia" w:ascii="仿宋" w:hAnsi="仿宋" w:eastAsia="仿宋" w:cs="仿宋"/>
          <w:color w:val="auto"/>
          <w:sz w:val="24"/>
          <w:szCs w:val="32"/>
          <w:highlight w:val="none"/>
        </w:rPr>
      </w:pPr>
      <w:r>
        <w:rPr>
          <w:rFonts w:hint="eastAsia" w:ascii="仿宋" w:hAnsi="仿宋" w:eastAsia="仿宋" w:cs="仿宋"/>
          <w:color w:val="auto"/>
          <w:szCs w:val="32"/>
          <w:highlight w:val="none"/>
        </w:rPr>
        <w:fldChar w:fldCharType="end"/>
      </w:r>
    </w:p>
    <w:p>
      <w:pPr>
        <w:pStyle w:val="2"/>
        <w:numPr>
          <w:ilvl w:val="0"/>
          <w:numId w:val="0"/>
        </w:numPr>
        <w:spacing w:line="500" w:lineRule="exact"/>
        <w:jc w:val="center"/>
        <w:rPr>
          <w:rFonts w:hint="eastAsia" w:ascii="仿宋" w:hAnsi="仿宋" w:eastAsia="仿宋" w:cs="仿宋"/>
          <w:color w:val="auto"/>
          <w:sz w:val="32"/>
          <w:highlight w:val="none"/>
        </w:rPr>
        <w:sectPr>
          <w:headerReference r:id="rId4" w:type="default"/>
          <w:footerReference r:id="rId5" w:type="default"/>
          <w:pgSz w:w="11906" w:h="16838"/>
          <w:pgMar w:top="1247" w:right="1134" w:bottom="1134" w:left="1247" w:header="510" w:footer="680" w:gutter="0"/>
          <w:pgNumType w:start="1"/>
          <w:cols w:space="720" w:num="1"/>
          <w:docGrid w:type="lines" w:linePitch="312" w:charSpace="0"/>
        </w:sectPr>
      </w:pPr>
      <w:bookmarkStart w:id="19" w:name="_Toc15231"/>
      <w:bookmarkStart w:id="20" w:name="_Toc23103"/>
      <w:bookmarkStart w:id="21" w:name="_Toc17089"/>
      <w:bookmarkStart w:id="22" w:name="_Toc18344"/>
      <w:bookmarkStart w:id="23" w:name="_Toc26287"/>
    </w:p>
    <w:p>
      <w:pPr>
        <w:pStyle w:val="2"/>
        <w:numPr>
          <w:ilvl w:val="0"/>
          <w:numId w:val="0"/>
        </w:numPr>
        <w:spacing w:line="600" w:lineRule="exact"/>
        <w:jc w:val="center"/>
        <w:rPr>
          <w:rFonts w:hint="eastAsia" w:ascii="仿宋" w:hAnsi="仿宋" w:eastAsia="仿宋" w:cs="仿宋"/>
          <w:color w:val="auto"/>
          <w:sz w:val="52"/>
          <w:szCs w:val="32"/>
          <w:highlight w:val="none"/>
        </w:rPr>
      </w:pPr>
      <w:bookmarkStart w:id="24" w:name="_Toc23818"/>
      <w:bookmarkStart w:id="25" w:name="_Toc15885"/>
      <w:r>
        <w:rPr>
          <w:rFonts w:hint="eastAsia" w:ascii="仿宋" w:hAnsi="仿宋" w:eastAsia="仿宋" w:cs="仿宋"/>
          <w:color w:val="auto"/>
          <w:sz w:val="52"/>
          <w:szCs w:val="32"/>
          <w:highlight w:val="none"/>
        </w:rPr>
        <w:t xml:space="preserve">第一章  </w:t>
      </w:r>
      <w:r>
        <w:rPr>
          <w:rFonts w:hint="eastAsia" w:ascii="仿宋" w:hAnsi="仿宋" w:eastAsia="仿宋" w:cs="仿宋"/>
          <w:color w:val="auto"/>
          <w:sz w:val="52"/>
          <w:szCs w:val="32"/>
          <w:highlight w:val="none"/>
          <w:lang w:val="en-US" w:eastAsia="zh-CN"/>
        </w:rPr>
        <w:t>竞争性</w:t>
      </w:r>
      <w:r>
        <w:rPr>
          <w:rFonts w:hint="eastAsia" w:ascii="仿宋" w:hAnsi="仿宋" w:eastAsia="仿宋" w:cs="仿宋"/>
          <w:color w:val="auto"/>
          <w:sz w:val="52"/>
          <w:szCs w:val="32"/>
          <w:highlight w:val="none"/>
        </w:rPr>
        <w:t>比选公告</w:t>
      </w:r>
      <w:bookmarkEnd w:id="19"/>
      <w:bookmarkEnd w:id="20"/>
      <w:bookmarkEnd w:id="21"/>
      <w:bookmarkEnd w:id="22"/>
      <w:bookmarkEnd w:id="23"/>
      <w:bookmarkEnd w:id="24"/>
      <w:bookmarkEnd w:id="25"/>
    </w:p>
    <w:p>
      <w:pPr>
        <w:spacing w:line="500" w:lineRule="atLeast"/>
        <w:jc w:val="center"/>
        <w:rPr>
          <w:rFonts w:hint="eastAsia" w:ascii="仿宋" w:hAnsi="仿宋" w:eastAsia="仿宋" w:cs="仿宋"/>
          <w:b/>
          <w:color w:val="auto"/>
          <w:kern w:val="0"/>
          <w:sz w:val="36"/>
          <w:szCs w:val="36"/>
          <w:highlight w:val="none"/>
          <w:lang w:eastAsia="zh-CN"/>
        </w:rPr>
      </w:pPr>
      <w:r>
        <w:rPr>
          <w:rFonts w:hint="eastAsia" w:ascii="仿宋" w:hAnsi="仿宋" w:eastAsia="仿宋" w:cs="仿宋"/>
          <w:b/>
          <w:color w:val="auto"/>
          <w:sz w:val="36"/>
          <w:szCs w:val="36"/>
          <w:highlight w:val="none"/>
          <w:lang w:eastAsia="zh-CN"/>
        </w:rPr>
        <w:t xml:space="preserve"> </w:t>
      </w:r>
      <w:r>
        <w:rPr>
          <w:rFonts w:hint="eastAsia" w:ascii="仿宋" w:hAnsi="仿宋" w:eastAsia="仿宋" w:cs="仿宋"/>
          <w:b/>
          <w:color w:val="auto"/>
          <w:sz w:val="36"/>
          <w:szCs w:val="36"/>
          <w:highlight w:val="none"/>
        </w:rPr>
        <w:t xml:space="preserve"> </w:t>
      </w:r>
      <w:r>
        <w:rPr>
          <w:rFonts w:hint="eastAsia" w:ascii="仿宋" w:hAnsi="仿宋" w:eastAsia="仿宋" w:cs="仿宋"/>
          <w:b/>
          <w:color w:val="auto"/>
          <w:kern w:val="0"/>
          <w:sz w:val="36"/>
          <w:szCs w:val="36"/>
          <w:highlight w:val="none"/>
          <w:lang w:eastAsia="zh-CN"/>
        </w:rPr>
        <w:t xml:space="preserve"> 云南师范大学附属世纪金源学校</w:t>
      </w:r>
    </w:p>
    <w:p>
      <w:pPr>
        <w:spacing w:line="500" w:lineRule="atLeast"/>
        <w:jc w:val="center"/>
        <w:rPr>
          <w:rFonts w:hint="eastAsia" w:ascii="仿宋" w:hAnsi="仿宋" w:eastAsia="仿宋" w:cs="仿宋"/>
          <w:color w:val="auto"/>
          <w:sz w:val="32"/>
          <w:szCs w:val="32"/>
          <w:highlight w:val="none"/>
        </w:rPr>
      </w:pPr>
      <w:r>
        <w:rPr>
          <w:rFonts w:hint="eastAsia" w:ascii="仿宋" w:hAnsi="仿宋" w:eastAsia="仿宋" w:cs="仿宋"/>
          <w:b/>
          <w:color w:val="auto"/>
          <w:kern w:val="0"/>
          <w:sz w:val="36"/>
          <w:szCs w:val="36"/>
          <w:highlight w:val="none"/>
          <w:lang w:eastAsia="zh-CN"/>
        </w:rPr>
        <w:t>零星修缮项目</w:t>
      </w:r>
      <w:r>
        <w:rPr>
          <w:rFonts w:hint="eastAsia" w:ascii="仿宋" w:hAnsi="仿宋" w:eastAsia="仿宋" w:cs="仿宋"/>
          <w:b/>
          <w:color w:val="auto"/>
          <w:kern w:val="0"/>
          <w:sz w:val="36"/>
          <w:szCs w:val="36"/>
          <w:highlight w:val="none"/>
          <w:lang w:val="en-US" w:eastAsia="zh-CN"/>
        </w:rPr>
        <w:t>竞争性</w:t>
      </w:r>
      <w:r>
        <w:rPr>
          <w:rFonts w:hint="eastAsia" w:ascii="仿宋" w:hAnsi="仿宋" w:eastAsia="仿宋" w:cs="仿宋"/>
          <w:b/>
          <w:color w:val="auto"/>
          <w:kern w:val="0"/>
          <w:sz w:val="36"/>
          <w:szCs w:val="36"/>
          <w:highlight w:val="none"/>
        </w:rPr>
        <w:t>比选公告</w:t>
      </w:r>
    </w:p>
    <w:p>
      <w:pPr>
        <w:pBdr>
          <w:top w:val="single" w:color="auto" w:sz="4" w:space="1"/>
          <w:left w:val="single" w:color="auto" w:sz="4" w:space="4"/>
          <w:bottom w:val="single" w:color="auto" w:sz="4" w:space="1"/>
          <w:right w:val="single" w:color="auto" w:sz="4" w:space="4"/>
        </w:pBdr>
        <w:spacing w:line="500" w:lineRule="atLeast"/>
        <w:ind w:firstLine="440" w:firstLineChars="200"/>
        <w:rPr>
          <w:rFonts w:hint="eastAsia" w:ascii="仿宋" w:hAnsi="仿宋" w:eastAsia="仿宋" w:cs="仿宋"/>
          <w:color w:val="auto"/>
          <w:sz w:val="22"/>
          <w:szCs w:val="22"/>
          <w:highlight w:val="none"/>
        </w:rPr>
      </w:pPr>
      <w:bookmarkStart w:id="26" w:name="_Toc8416"/>
      <w:bookmarkStart w:id="27" w:name="_Toc6017"/>
      <w:bookmarkStart w:id="28" w:name="_Toc32571"/>
      <w:bookmarkStart w:id="29" w:name="_Toc25116"/>
      <w:bookmarkStart w:id="30" w:name="_Toc12681"/>
      <w:bookmarkStart w:id="31" w:name="_Toc24954"/>
      <w:bookmarkStart w:id="32" w:name="_Toc7901"/>
      <w:r>
        <w:rPr>
          <w:rFonts w:hint="eastAsia" w:ascii="仿宋" w:hAnsi="仿宋" w:eastAsia="仿宋" w:cs="仿宋"/>
          <w:color w:val="auto"/>
          <w:sz w:val="22"/>
          <w:szCs w:val="22"/>
          <w:highlight w:val="none"/>
        </w:rPr>
        <w:t>项目概况</w:t>
      </w:r>
    </w:p>
    <w:p>
      <w:pPr>
        <w:pBdr>
          <w:top w:val="single" w:color="auto" w:sz="4" w:space="1"/>
          <w:left w:val="single" w:color="auto" w:sz="4" w:space="4"/>
          <w:bottom w:val="single" w:color="auto" w:sz="4" w:space="1"/>
          <w:right w:val="single" w:color="auto" w:sz="4" w:space="4"/>
        </w:pBdr>
        <w:spacing w:line="500" w:lineRule="atLeast"/>
        <w:ind w:firstLine="440" w:firstLineChars="200"/>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u w:val="single"/>
          <w:lang w:eastAsia="zh-CN"/>
        </w:rPr>
        <w:t>云南师范大学附属世纪金源学校零星修缮项目</w:t>
      </w:r>
      <w:r>
        <w:rPr>
          <w:rFonts w:hint="eastAsia" w:ascii="仿宋" w:hAnsi="仿宋" w:eastAsia="仿宋" w:cs="仿宋"/>
          <w:color w:val="auto"/>
          <w:sz w:val="22"/>
          <w:szCs w:val="22"/>
          <w:highlight w:val="none"/>
        </w:rPr>
        <w:t>的潜在投标人应在</w:t>
      </w:r>
      <w:r>
        <w:rPr>
          <w:rFonts w:hint="eastAsia" w:ascii="仿宋" w:hAnsi="仿宋" w:eastAsia="仿宋" w:cs="仿宋"/>
          <w:color w:val="auto"/>
          <w:sz w:val="22"/>
          <w:szCs w:val="22"/>
          <w:highlight w:val="none"/>
          <w:u w:val="single"/>
        </w:rPr>
        <w:t>云南师范大学附属世纪金源学校（昆明市广福路3678号）</w:t>
      </w:r>
      <w:r>
        <w:rPr>
          <w:rFonts w:hint="eastAsia" w:ascii="仿宋" w:hAnsi="仿宋" w:eastAsia="仿宋" w:cs="仿宋"/>
          <w:color w:val="auto"/>
          <w:kern w:val="0"/>
          <w:sz w:val="24"/>
          <w:highlight w:val="none"/>
          <w:lang w:val="en-US" w:eastAsia="zh-CN"/>
        </w:rPr>
        <w:t>官网</w:t>
      </w:r>
      <w:r>
        <w:rPr>
          <w:rFonts w:hint="eastAsia" w:ascii="宋体" w:hAnsi="宋体" w:eastAsia="Arial" w:cs="宋体"/>
          <w:color w:val="auto"/>
          <w:spacing w:val="0"/>
          <w:sz w:val="24"/>
          <w:highlight w:val="none"/>
        </w:rPr>
        <w:t>（https://www.ysdsjjy.com/sjjycms/front/index）</w:t>
      </w:r>
      <w:r>
        <w:rPr>
          <w:rFonts w:hint="eastAsia" w:ascii="仿宋" w:hAnsi="仿宋" w:eastAsia="仿宋" w:cs="仿宋"/>
          <w:color w:val="auto"/>
          <w:sz w:val="22"/>
          <w:szCs w:val="22"/>
          <w:highlight w:val="none"/>
          <w:lang w:val="en-US" w:eastAsia="zh-CN"/>
        </w:rPr>
        <w:t>上</w:t>
      </w:r>
      <w:r>
        <w:rPr>
          <w:rFonts w:hint="eastAsia" w:ascii="仿宋" w:hAnsi="仿宋" w:eastAsia="仿宋" w:cs="仿宋"/>
          <w:color w:val="auto"/>
          <w:sz w:val="22"/>
          <w:szCs w:val="22"/>
          <w:highlight w:val="none"/>
        </w:rPr>
        <w:t>获取</w:t>
      </w:r>
      <w:r>
        <w:rPr>
          <w:rFonts w:hint="eastAsia" w:ascii="仿宋" w:hAnsi="仿宋" w:eastAsia="仿宋" w:cs="仿宋"/>
          <w:color w:val="auto"/>
          <w:sz w:val="22"/>
          <w:szCs w:val="22"/>
          <w:highlight w:val="none"/>
          <w:lang w:val="en-US" w:eastAsia="zh-CN"/>
        </w:rPr>
        <w:t>比选</w:t>
      </w:r>
      <w:r>
        <w:rPr>
          <w:rFonts w:hint="eastAsia" w:ascii="仿宋" w:hAnsi="仿宋" w:eastAsia="仿宋" w:cs="仿宋"/>
          <w:color w:val="auto"/>
          <w:sz w:val="22"/>
          <w:szCs w:val="22"/>
          <w:highlight w:val="none"/>
        </w:rPr>
        <w:t>文件，并于</w:t>
      </w:r>
      <w:r>
        <w:rPr>
          <w:rFonts w:hint="eastAsia" w:ascii="仿宋" w:hAnsi="仿宋" w:eastAsia="仿宋" w:cs="仿宋"/>
          <w:color w:val="auto"/>
          <w:sz w:val="22"/>
          <w:szCs w:val="22"/>
          <w:highlight w:val="none"/>
          <w:u w:val="single"/>
          <w:lang w:eastAsia="zh-CN"/>
        </w:rPr>
        <w:t>202</w:t>
      </w:r>
      <w:r>
        <w:rPr>
          <w:rFonts w:hint="eastAsia" w:ascii="仿宋" w:hAnsi="仿宋" w:eastAsia="仿宋" w:cs="仿宋"/>
          <w:color w:val="auto"/>
          <w:sz w:val="22"/>
          <w:szCs w:val="22"/>
          <w:highlight w:val="none"/>
          <w:u w:val="single"/>
          <w:lang w:val="en-US" w:eastAsia="zh-CN"/>
        </w:rPr>
        <w:t>4</w:t>
      </w:r>
      <w:r>
        <w:rPr>
          <w:rFonts w:hint="eastAsia" w:ascii="仿宋" w:hAnsi="仿宋" w:eastAsia="仿宋" w:cs="仿宋"/>
          <w:color w:val="auto"/>
          <w:sz w:val="22"/>
          <w:szCs w:val="22"/>
          <w:highlight w:val="none"/>
          <w:u w:val="single"/>
          <w:lang w:eastAsia="zh-CN"/>
        </w:rPr>
        <w:t>年</w:t>
      </w:r>
      <w:r>
        <w:rPr>
          <w:rFonts w:hint="eastAsia" w:ascii="仿宋" w:hAnsi="仿宋" w:eastAsia="仿宋" w:cs="仿宋"/>
          <w:color w:val="auto"/>
          <w:sz w:val="22"/>
          <w:szCs w:val="22"/>
          <w:highlight w:val="none"/>
          <w:u w:val="single"/>
          <w:lang w:val="en-US" w:eastAsia="zh-CN"/>
        </w:rPr>
        <w:t>4</w:t>
      </w:r>
      <w:r>
        <w:rPr>
          <w:rFonts w:hint="eastAsia" w:ascii="仿宋" w:hAnsi="仿宋" w:eastAsia="仿宋" w:cs="仿宋"/>
          <w:color w:val="auto"/>
          <w:sz w:val="22"/>
          <w:szCs w:val="22"/>
          <w:highlight w:val="none"/>
          <w:u w:val="single"/>
          <w:lang w:eastAsia="zh-CN"/>
        </w:rPr>
        <w:t>月</w:t>
      </w:r>
      <w:r>
        <w:rPr>
          <w:rFonts w:hint="eastAsia" w:ascii="仿宋" w:hAnsi="仿宋" w:eastAsia="仿宋" w:cs="仿宋"/>
          <w:color w:val="auto"/>
          <w:sz w:val="22"/>
          <w:szCs w:val="22"/>
          <w:highlight w:val="none"/>
          <w:u w:val="single"/>
          <w:lang w:val="en-US" w:eastAsia="zh-CN"/>
        </w:rPr>
        <w:t>30</w:t>
      </w:r>
      <w:r>
        <w:rPr>
          <w:rFonts w:hint="eastAsia" w:ascii="仿宋" w:hAnsi="仿宋" w:eastAsia="仿宋" w:cs="仿宋"/>
          <w:color w:val="auto"/>
          <w:sz w:val="22"/>
          <w:szCs w:val="22"/>
          <w:highlight w:val="none"/>
          <w:u w:val="single"/>
          <w:lang w:eastAsia="zh-CN"/>
        </w:rPr>
        <w:t>日</w:t>
      </w:r>
      <w:r>
        <w:rPr>
          <w:rFonts w:hint="eastAsia" w:ascii="仿宋" w:hAnsi="仿宋" w:eastAsia="仿宋" w:cs="仿宋"/>
          <w:color w:val="auto"/>
          <w:sz w:val="22"/>
          <w:szCs w:val="22"/>
          <w:highlight w:val="none"/>
          <w:u w:val="single"/>
          <w:lang w:val="en-US" w:eastAsia="zh-CN"/>
        </w:rPr>
        <w:t>17点00分</w:t>
      </w:r>
      <w:r>
        <w:rPr>
          <w:rFonts w:hint="eastAsia" w:ascii="仿宋" w:hAnsi="仿宋" w:eastAsia="仿宋" w:cs="仿宋"/>
          <w:bCs/>
          <w:color w:val="auto"/>
          <w:sz w:val="22"/>
          <w:szCs w:val="22"/>
          <w:highlight w:val="none"/>
        </w:rPr>
        <w:t>（北京时间）前提交响应文件</w:t>
      </w:r>
      <w:r>
        <w:rPr>
          <w:rFonts w:hint="eastAsia" w:ascii="仿宋" w:hAnsi="仿宋" w:eastAsia="仿宋" w:cs="仿宋"/>
          <w:color w:val="auto"/>
          <w:sz w:val="22"/>
          <w:szCs w:val="22"/>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3" w:name="_Toc21103"/>
      <w:r>
        <w:rPr>
          <w:rFonts w:hint="eastAsia" w:ascii="仿宋" w:hAnsi="仿宋" w:eastAsia="仿宋" w:cs="仿宋"/>
          <w:bCs/>
          <w:color w:val="auto"/>
          <w:sz w:val="24"/>
          <w:highlight w:val="none"/>
        </w:rPr>
        <w:t>一、项目基本情况</w:t>
      </w:r>
      <w:bookmarkEnd w:id="33"/>
    </w:p>
    <w:p>
      <w:pPr>
        <w:spacing w:line="500" w:lineRule="atLeast"/>
        <w:ind w:firstLine="480" w:firstLineChars="200"/>
        <w:rPr>
          <w:rFonts w:hint="eastAsia" w:ascii="仿宋" w:hAnsi="仿宋" w:eastAsia="仿宋" w:cs="仿宋"/>
          <w:color w:val="auto"/>
          <w:sz w:val="24"/>
          <w:highlight w:val="none"/>
        </w:rPr>
      </w:pPr>
      <w:bookmarkStart w:id="34" w:name="_Toc4242"/>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.项目名称：</w:t>
      </w:r>
      <w:r>
        <w:rPr>
          <w:rFonts w:hint="eastAsia" w:ascii="仿宋" w:hAnsi="仿宋" w:eastAsia="仿宋" w:cs="仿宋"/>
          <w:color w:val="auto"/>
          <w:sz w:val="24"/>
          <w:highlight w:val="none"/>
          <w:lang w:eastAsia="zh-CN"/>
        </w:rPr>
        <w:t>云南师范大学附属世纪金源学校零星修缮项目</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2</w:t>
      </w: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招标</w:t>
      </w:r>
      <w:r>
        <w:rPr>
          <w:rFonts w:hint="eastAsia" w:ascii="仿宋" w:hAnsi="仿宋" w:eastAsia="仿宋" w:cs="仿宋"/>
          <w:color w:val="auto"/>
          <w:sz w:val="24"/>
          <w:highlight w:val="none"/>
        </w:rPr>
        <w:t>方式：</w:t>
      </w:r>
      <w:r>
        <w:rPr>
          <w:rFonts w:hint="eastAsia" w:ascii="仿宋" w:hAnsi="仿宋" w:eastAsia="仿宋" w:cs="仿宋"/>
          <w:color w:val="auto"/>
          <w:sz w:val="24"/>
          <w:highlight w:val="none"/>
          <w:lang w:val="en-US" w:eastAsia="zh-CN"/>
        </w:rPr>
        <w:t>竞争性</w:t>
      </w:r>
      <w:r>
        <w:rPr>
          <w:rFonts w:hint="eastAsia" w:ascii="仿宋" w:hAnsi="仿宋" w:eastAsia="仿宋" w:cs="仿宋"/>
          <w:color w:val="auto"/>
          <w:sz w:val="24"/>
          <w:highlight w:val="none"/>
        </w:rPr>
        <w:t>比选；</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.预算金额：</w:t>
      </w:r>
      <w:r>
        <w:rPr>
          <w:rFonts w:hint="eastAsia" w:ascii="仿宋" w:hAnsi="仿宋" w:eastAsia="仿宋" w:cs="仿宋"/>
          <w:color w:val="auto"/>
          <w:sz w:val="24"/>
          <w:highlight w:val="none"/>
          <w:lang w:eastAsia="zh-CN"/>
        </w:rPr>
        <w:t>¥44690元（大写：肆万肆仟陆佰玖拾元整）</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4</w:t>
      </w:r>
      <w:r>
        <w:rPr>
          <w:rFonts w:hint="eastAsia" w:ascii="仿宋" w:hAnsi="仿宋" w:eastAsia="仿宋" w:cs="仿宋"/>
          <w:color w:val="auto"/>
          <w:sz w:val="24"/>
          <w:highlight w:val="none"/>
        </w:rPr>
        <w:t>.最高限价：</w:t>
      </w:r>
      <w:r>
        <w:rPr>
          <w:rFonts w:hint="eastAsia" w:ascii="仿宋" w:hAnsi="仿宋" w:eastAsia="仿宋" w:cs="仿宋"/>
          <w:color w:val="auto"/>
          <w:sz w:val="24"/>
          <w:highlight w:val="none"/>
          <w:lang w:eastAsia="zh-CN"/>
        </w:rPr>
        <w:t>¥44690元（大写：肆万肆仟陆佰玖拾元整）</w:t>
      </w:r>
      <w:r>
        <w:rPr>
          <w:rFonts w:hint="eastAsia" w:ascii="仿宋" w:hAnsi="仿宋" w:eastAsia="仿宋" w:cs="仿宋"/>
          <w:color w:val="auto"/>
          <w:sz w:val="24"/>
          <w:highlight w:val="none"/>
        </w:rPr>
        <w:t>；</w:t>
      </w:r>
    </w:p>
    <w:p>
      <w:pPr>
        <w:spacing w:line="500" w:lineRule="atLeast"/>
        <w:ind w:firstLine="480" w:firstLineChars="200"/>
        <w:rPr>
          <w:rFonts w:hint="default"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5</w:t>
      </w:r>
      <w:r>
        <w:rPr>
          <w:rFonts w:hint="eastAsia" w:ascii="仿宋" w:hAnsi="仿宋" w:eastAsia="仿宋" w:cs="仿宋"/>
          <w:color w:val="auto"/>
          <w:sz w:val="24"/>
          <w:highlight w:val="none"/>
        </w:rPr>
        <w:t>.项目需求：</w:t>
      </w:r>
      <w:r>
        <w:rPr>
          <w:rFonts w:hint="eastAsia" w:ascii="仿宋" w:hAnsi="仿宋" w:eastAsia="仿宋" w:cs="仿宋"/>
          <w:color w:val="auto"/>
          <w:sz w:val="24"/>
          <w:highlight w:val="none"/>
          <w:lang w:val="en-US" w:eastAsia="zh-CN"/>
        </w:rPr>
        <w:t>楼梯刷漆等11个单项维修（具体明细及施工工艺详见《学校零星修缮项目报价表》）。</w:t>
      </w:r>
    </w:p>
    <w:p>
      <w:pPr>
        <w:spacing w:line="500" w:lineRule="atLeast"/>
        <w:ind w:firstLine="482" w:firstLineChars="200"/>
        <w:rPr>
          <w:rFonts w:hint="eastAsia" w:ascii="仿宋" w:hAnsi="仿宋" w:eastAsia="仿宋" w:cs="仿宋"/>
          <w:color w:val="auto"/>
          <w:sz w:val="24"/>
          <w:highlight w:val="none"/>
        </w:rPr>
      </w:pPr>
      <w:r>
        <w:rPr>
          <w:rFonts w:hint="eastAsia" w:ascii="仿宋" w:hAnsi="仿宋" w:eastAsia="仿宋" w:cs="仿宋"/>
          <w:b/>
          <w:bCs/>
          <w:color w:val="auto"/>
          <w:sz w:val="24"/>
          <w:szCs w:val="24"/>
          <w:highlight w:val="none"/>
        </w:rPr>
        <w:t>★注：（1）本项目</w:t>
      </w:r>
      <w:r>
        <w:rPr>
          <w:rFonts w:hint="eastAsia" w:ascii="仿宋" w:hAnsi="仿宋" w:eastAsia="仿宋" w:cs="仿宋"/>
          <w:b/>
          <w:bCs/>
          <w:color w:val="auto"/>
          <w:sz w:val="24"/>
          <w:szCs w:val="24"/>
          <w:highlight w:val="none"/>
          <w:lang w:val="en-US" w:eastAsia="zh-CN"/>
        </w:rPr>
        <w:t>投标人</w:t>
      </w:r>
      <w:r>
        <w:rPr>
          <w:rFonts w:hint="eastAsia" w:ascii="仿宋" w:hAnsi="仿宋" w:eastAsia="仿宋" w:cs="仿宋"/>
          <w:b/>
          <w:bCs/>
          <w:color w:val="auto"/>
          <w:sz w:val="24"/>
          <w:szCs w:val="24"/>
          <w:highlight w:val="none"/>
        </w:rPr>
        <w:t>须对项目进行</w:t>
      </w:r>
      <w:r>
        <w:rPr>
          <w:rFonts w:hint="eastAsia" w:ascii="仿宋" w:hAnsi="仿宋" w:eastAsia="仿宋" w:cs="仿宋"/>
          <w:b/>
          <w:bCs/>
          <w:color w:val="auto"/>
          <w:sz w:val="24"/>
          <w:szCs w:val="24"/>
          <w:highlight w:val="none"/>
          <w:lang w:val="en-US" w:eastAsia="zh-CN"/>
        </w:rPr>
        <w:t>分项</w:t>
      </w:r>
      <w:r>
        <w:rPr>
          <w:rFonts w:hint="eastAsia" w:ascii="仿宋" w:hAnsi="仿宋" w:eastAsia="仿宋" w:cs="仿宋"/>
          <w:b/>
          <w:bCs/>
          <w:color w:val="auto"/>
          <w:sz w:val="24"/>
          <w:szCs w:val="24"/>
          <w:highlight w:val="none"/>
        </w:rPr>
        <w:t>报价，不得缺项、漏项，否则响应文件无效；（2）</w:t>
      </w:r>
      <w:r>
        <w:rPr>
          <w:rFonts w:hint="eastAsia" w:ascii="仿宋" w:hAnsi="仿宋" w:eastAsia="仿宋" w:cs="仿宋"/>
          <w:b/>
          <w:bCs/>
          <w:color w:val="auto"/>
          <w:sz w:val="24"/>
          <w:szCs w:val="24"/>
          <w:highlight w:val="none"/>
          <w:lang w:val="en-US" w:eastAsia="zh-CN"/>
        </w:rPr>
        <w:t>投标单位</w:t>
      </w:r>
      <w:r>
        <w:rPr>
          <w:rFonts w:hint="eastAsia" w:ascii="仿宋" w:hAnsi="仿宋" w:eastAsia="仿宋" w:cs="仿宋"/>
          <w:b/>
          <w:bCs/>
          <w:color w:val="auto"/>
          <w:sz w:val="24"/>
          <w:szCs w:val="24"/>
          <w:highlight w:val="none"/>
        </w:rPr>
        <w:t>须保证本项目中所投设备（产品）配套（产品）及预装的所有设备（产品）均为全新设备（产品）；（3）本项目不接受进口产品，进口产品是指通过中国海关报关验放进入中国境内且产自关境外的产品。</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7.</w:t>
      </w:r>
      <w:r>
        <w:rPr>
          <w:rFonts w:hint="eastAsia" w:ascii="仿宋" w:hAnsi="仿宋" w:eastAsia="仿宋" w:cs="仿宋"/>
          <w:color w:val="auto"/>
          <w:sz w:val="24"/>
          <w:highlight w:val="none"/>
          <w:lang w:val="en-US" w:eastAsia="zh-CN"/>
        </w:rPr>
        <w:t>质保期</w:t>
      </w: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1年</w:t>
      </w:r>
      <w:r>
        <w:rPr>
          <w:rFonts w:hint="eastAsia" w:ascii="仿宋" w:hAnsi="仿宋" w:eastAsia="仿宋" w:cs="仿宋"/>
          <w:color w:val="auto"/>
          <w:sz w:val="24"/>
          <w:highlight w:val="none"/>
        </w:rPr>
        <w:t>。</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8.</w:t>
      </w:r>
      <w:r>
        <w:rPr>
          <w:rFonts w:hint="eastAsia" w:ascii="仿宋" w:hAnsi="仿宋" w:eastAsia="仿宋" w:cs="仿宋"/>
          <w:color w:val="auto"/>
          <w:sz w:val="24"/>
          <w:highlight w:val="none"/>
          <w:lang w:val="en-US" w:eastAsia="zh-CN"/>
        </w:rPr>
        <w:t>服务</w:t>
      </w:r>
      <w:r>
        <w:rPr>
          <w:rFonts w:hint="eastAsia" w:ascii="仿宋" w:hAnsi="仿宋" w:eastAsia="仿宋" w:cs="仿宋"/>
          <w:color w:val="auto"/>
          <w:sz w:val="24"/>
          <w:highlight w:val="none"/>
        </w:rPr>
        <w:t>地点：</w:t>
      </w:r>
      <w:r>
        <w:rPr>
          <w:rFonts w:hint="eastAsia" w:ascii="仿宋" w:hAnsi="仿宋" w:eastAsia="仿宋" w:cs="仿宋"/>
          <w:color w:val="auto"/>
          <w:sz w:val="24"/>
          <w:highlight w:val="none"/>
          <w:lang w:eastAsia="zh-CN"/>
        </w:rPr>
        <w:t>云南师范大学附属世纪金源学校</w:t>
      </w:r>
      <w:r>
        <w:rPr>
          <w:rFonts w:hint="eastAsia" w:ascii="仿宋" w:hAnsi="仿宋" w:eastAsia="仿宋" w:cs="仿宋"/>
          <w:color w:val="auto"/>
          <w:sz w:val="24"/>
          <w:highlight w:val="none"/>
        </w:rPr>
        <w:t>指定地点。</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9.本项目不接受联合体比选。</w:t>
      </w:r>
    </w:p>
    <w:p>
      <w:pPr>
        <w:keepNext/>
        <w:keepLines/>
        <w:spacing w:line="500" w:lineRule="atLeast"/>
        <w:ind w:firstLine="480" w:firstLineChars="200"/>
        <w:outlineLvl w:val="1"/>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二、投标人的资格要求：</w:t>
      </w:r>
      <w:bookmarkEnd w:id="34"/>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1.第一中标候选人的行贿犯罪档案信息查询，招标人等可以通过“中国裁判文书网”查询相关信息；</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3.其他：</w:t>
      </w:r>
    </w:p>
    <w:p>
      <w:pPr>
        <w:spacing w:line="500" w:lineRule="atLeast"/>
        <w:ind w:firstLine="480" w:firstLineChars="200"/>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（1）资质条件：投标人须是在中华人民共和国境内经国家工商行政管理部门登记注册具有独立企业（事业）法人或其他组织，</w:t>
      </w:r>
      <w:r>
        <w:rPr>
          <w:rFonts w:hint="eastAsia" w:ascii="仿宋" w:hAnsi="仿宋" w:eastAsia="仿宋" w:cs="仿宋"/>
          <w:color w:val="auto"/>
          <w:sz w:val="24"/>
          <w:highlight w:val="none"/>
          <w:lang w:eastAsia="zh-CN"/>
        </w:rPr>
        <w:t>具备有效的营业执照等证明文件；</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2</w:t>
      </w:r>
      <w:r>
        <w:rPr>
          <w:rFonts w:hint="eastAsia" w:ascii="仿宋" w:hAnsi="仿宋" w:eastAsia="仿宋" w:cs="仿宋"/>
          <w:color w:val="auto"/>
          <w:sz w:val="24"/>
          <w:highlight w:val="none"/>
        </w:rPr>
        <w:t>）财务要求：</w:t>
      </w:r>
      <w:r>
        <w:rPr>
          <w:rFonts w:hint="eastAsia" w:ascii="仿宋" w:hAnsi="仿宋" w:eastAsia="仿宋" w:cs="仿宋"/>
          <w:color w:val="auto"/>
          <w:sz w:val="24"/>
          <w:highlight w:val="none"/>
          <w:lang w:eastAsia="zh-CN"/>
        </w:rPr>
        <w:t>提供经第三方审计机构审计的</w:t>
      </w:r>
      <w:r>
        <w:rPr>
          <w:rFonts w:hint="eastAsia" w:ascii="仿宋" w:hAnsi="仿宋" w:eastAsia="仿宋" w:cs="仿宋"/>
          <w:color w:val="auto"/>
          <w:sz w:val="24"/>
          <w:highlight w:val="none"/>
          <w:lang w:val="en-US" w:eastAsia="zh-CN"/>
        </w:rPr>
        <w:t>2021年或2022年</w:t>
      </w:r>
      <w:r>
        <w:rPr>
          <w:rFonts w:hint="eastAsia" w:ascii="仿宋" w:hAnsi="仿宋" w:eastAsia="仿宋" w:cs="仿宋"/>
          <w:color w:val="auto"/>
          <w:sz w:val="24"/>
          <w:highlight w:val="none"/>
          <w:lang w:eastAsia="zh-CN"/>
        </w:rPr>
        <w:t>财务状况审计报告，未经第三方审计的投标人或成立年限不足1年的投标人可提供基本开户银行出具的资信证明；</w:t>
      </w:r>
    </w:p>
    <w:p>
      <w:pPr>
        <w:spacing w:line="500" w:lineRule="atLeast"/>
        <w:ind w:firstLine="480" w:firstLineChars="200"/>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）信誉要求：投标人没有处于被责令停业、投标资格被暂停或取消、财产被接管、冻结、破产等状态；202</w:t>
      </w: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年1月1日至今没有骗取中标和严重违约、没有被项目所在地政府或国家部委禁止市场准入等情形（提供承诺书或相关证明材料）。</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5" w:name="_Toc5122"/>
      <w:r>
        <w:rPr>
          <w:rFonts w:hint="eastAsia" w:ascii="仿宋" w:hAnsi="仿宋" w:eastAsia="仿宋" w:cs="仿宋"/>
          <w:bCs/>
          <w:color w:val="auto"/>
          <w:sz w:val="24"/>
          <w:highlight w:val="none"/>
        </w:rPr>
        <w:t>三、获取比选文件</w:t>
      </w:r>
      <w:bookmarkEnd w:id="35"/>
    </w:p>
    <w:p>
      <w:pPr>
        <w:spacing w:line="500" w:lineRule="atLeast"/>
        <w:ind w:firstLine="480" w:firstLineChars="200"/>
        <w:rPr>
          <w:rFonts w:hint="default"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.方式：</w:t>
      </w:r>
      <w:r>
        <w:rPr>
          <w:rFonts w:hint="eastAsia" w:ascii="仿宋" w:hAnsi="仿宋" w:eastAsia="仿宋" w:cs="仿宋"/>
          <w:color w:val="auto"/>
          <w:sz w:val="24"/>
          <w:highlight w:val="none"/>
          <w:lang w:val="en-US" w:eastAsia="zh-CN"/>
        </w:rPr>
        <w:t>投标人自行下载附件，</w:t>
      </w:r>
      <w:r>
        <w:rPr>
          <w:rFonts w:hint="eastAsia" w:ascii="仿宋" w:hAnsi="仿宋" w:eastAsia="仿宋" w:cs="仿宋"/>
          <w:color w:val="auto"/>
          <w:sz w:val="24"/>
          <w:highlight w:val="none"/>
        </w:rPr>
        <w:t>获取</w:t>
      </w:r>
      <w:r>
        <w:rPr>
          <w:rFonts w:hint="eastAsia" w:ascii="仿宋" w:hAnsi="仿宋" w:eastAsia="仿宋" w:cs="仿宋"/>
          <w:color w:val="auto"/>
          <w:sz w:val="24"/>
          <w:highlight w:val="none"/>
          <w:lang w:val="en-US" w:eastAsia="zh-CN"/>
        </w:rPr>
        <w:t>竞争性</w:t>
      </w:r>
      <w:r>
        <w:rPr>
          <w:rFonts w:hint="eastAsia" w:ascii="仿宋" w:hAnsi="仿宋" w:eastAsia="仿宋" w:cs="仿宋"/>
          <w:color w:val="auto"/>
          <w:sz w:val="24"/>
          <w:highlight w:val="none"/>
          <w:lang w:eastAsia="zh-CN"/>
        </w:rPr>
        <w:t>比选</w:t>
      </w:r>
      <w:r>
        <w:rPr>
          <w:rFonts w:hint="eastAsia" w:ascii="仿宋" w:hAnsi="仿宋" w:eastAsia="仿宋" w:cs="仿宋"/>
          <w:color w:val="auto"/>
          <w:sz w:val="24"/>
          <w:highlight w:val="none"/>
        </w:rPr>
        <w:t>文件。请将法定代表人身份证明书（盖章扫描件）、授权委托书（盖章扫描件）和营业执照发送至云南师范大学附属世纪金源学校后勤保障中心邮箱（530705643@qq.com）</w:t>
      </w:r>
      <w:r>
        <w:rPr>
          <w:rFonts w:hint="eastAsia" w:ascii="仿宋" w:hAnsi="仿宋" w:eastAsia="仿宋" w:cs="仿宋"/>
          <w:color w:val="auto"/>
          <w:sz w:val="24"/>
          <w:highlight w:val="none"/>
          <w:lang w:val="en-US" w:eastAsia="zh-CN"/>
        </w:rPr>
        <w:t>确认报名资格。</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2</w:t>
      </w:r>
      <w:r>
        <w:rPr>
          <w:rFonts w:hint="eastAsia" w:ascii="仿宋" w:hAnsi="仿宋" w:eastAsia="仿宋" w:cs="仿宋"/>
          <w:color w:val="auto"/>
          <w:sz w:val="24"/>
          <w:highlight w:val="none"/>
        </w:rPr>
        <w:t>.售价：人民币</w:t>
      </w:r>
      <w:r>
        <w:rPr>
          <w:rFonts w:hint="eastAsia" w:ascii="仿宋" w:hAnsi="仿宋" w:eastAsia="仿宋" w:cs="仿宋"/>
          <w:color w:val="auto"/>
          <w:sz w:val="24"/>
          <w:highlight w:val="none"/>
          <w:lang w:val="en-US" w:eastAsia="zh-CN"/>
        </w:rPr>
        <w:t>0元整</w:t>
      </w:r>
      <w:r>
        <w:rPr>
          <w:rFonts w:hint="eastAsia" w:ascii="仿宋" w:hAnsi="仿宋" w:eastAsia="仿宋" w:cs="仿宋"/>
          <w:color w:val="auto"/>
          <w:sz w:val="24"/>
          <w:highlight w:val="none"/>
        </w:rPr>
        <w:t>（¥0.00元）。</w:t>
      </w:r>
    </w:p>
    <w:p>
      <w:pPr>
        <w:keepNext/>
        <w:keepLines/>
        <w:spacing w:line="500" w:lineRule="atLeast"/>
        <w:ind w:firstLine="480" w:firstLineChars="200"/>
        <w:outlineLvl w:val="1"/>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四、</w:t>
      </w:r>
      <w:r>
        <w:rPr>
          <w:rFonts w:hint="eastAsia" w:ascii="仿宋" w:hAnsi="仿宋" w:eastAsia="仿宋" w:cs="仿宋"/>
          <w:color w:val="auto"/>
          <w:sz w:val="24"/>
          <w:highlight w:val="none"/>
          <w:lang w:val="en-US" w:eastAsia="zh-CN"/>
        </w:rPr>
        <w:t>竞争性</w:t>
      </w:r>
      <w:r>
        <w:rPr>
          <w:rFonts w:hint="eastAsia" w:ascii="仿宋" w:hAnsi="仿宋" w:eastAsia="仿宋" w:cs="仿宋"/>
          <w:bCs/>
          <w:color w:val="auto"/>
          <w:sz w:val="24"/>
          <w:highlight w:val="none"/>
        </w:rPr>
        <w:t>比选文件提交</w:t>
      </w:r>
    </w:p>
    <w:p>
      <w:pPr>
        <w:spacing w:line="500" w:lineRule="atLeast"/>
        <w:ind w:firstLine="480" w:firstLineChars="200"/>
        <w:rPr>
          <w:rFonts w:hint="eastAsia" w:ascii="仿宋" w:hAnsi="仿宋" w:eastAsia="仿宋" w:cs="仿宋"/>
          <w:bCs/>
          <w:color w:val="auto"/>
          <w:sz w:val="24"/>
          <w:highlight w:val="none"/>
        </w:rPr>
      </w:pPr>
      <w:r>
        <w:rPr>
          <w:rFonts w:hint="eastAsia" w:ascii="仿宋" w:hAnsi="仿宋" w:eastAsia="仿宋" w:cs="仿宋"/>
          <w:color w:val="auto"/>
          <w:sz w:val="24"/>
          <w:highlight w:val="none"/>
        </w:rPr>
        <w:t>1.截止时间：</w:t>
      </w:r>
      <w:r>
        <w:rPr>
          <w:rFonts w:hint="eastAsia" w:ascii="仿宋" w:hAnsi="仿宋" w:eastAsia="仿宋" w:cs="仿宋"/>
          <w:color w:val="auto"/>
          <w:sz w:val="24"/>
          <w:highlight w:val="none"/>
          <w:u w:val="single"/>
          <w:lang w:eastAsia="zh-CN"/>
        </w:rPr>
        <w:t>2024年</w:t>
      </w:r>
      <w:r>
        <w:rPr>
          <w:rFonts w:hint="eastAsia" w:ascii="仿宋" w:hAnsi="仿宋" w:eastAsia="仿宋" w:cs="仿宋"/>
          <w:color w:val="auto"/>
          <w:sz w:val="24"/>
          <w:highlight w:val="none"/>
          <w:u w:val="single"/>
          <w:lang w:val="en-US" w:eastAsia="zh-CN"/>
        </w:rPr>
        <w:t>4</w:t>
      </w:r>
      <w:r>
        <w:rPr>
          <w:rFonts w:hint="eastAsia" w:ascii="仿宋" w:hAnsi="仿宋" w:eastAsia="仿宋" w:cs="仿宋"/>
          <w:color w:val="auto"/>
          <w:sz w:val="24"/>
          <w:highlight w:val="none"/>
          <w:u w:val="single"/>
          <w:lang w:eastAsia="zh-CN"/>
        </w:rPr>
        <w:t>月</w:t>
      </w:r>
      <w:r>
        <w:rPr>
          <w:rFonts w:hint="eastAsia" w:ascii="仿宋" w:hAnsi="仿宋" w:eastAsia="仿宋" w:cs="仿宋"/>
          <w:color w:val="auto"/>
          <w:sz w:val="24"/>
          <w:highlight w:val="none"/>
          <w:u w:val="single"/>
          <w:lang w:val="en-US" w:eastAsia="zh-CN"/>
        </w:rPr>
        <w:t>30</w:t>
      </w:r>
      <w:r>
        <w:rPr>
          <w:rFonts w:hint="eastAsia" w:ascii="仿宋" w:hAnsi="仿宋" w:eastAsia="仿宋" w:cs="仿宋"/>
          <w:color w:val="auto"/>
          <w:sz w:val="24"/>
          <w:highlight w:val="none"/>
          <w:u w:val="single"/>
          <w:lang w:eastAsia="zh-CN"/>
        </w:rPr>
        <w:t>日</w:t>
      </w:r>
      <w:r>
        <w:rPr>
          <w:rFonts w:hint="eastAsia" w:ascii="仿宋" w:hAnsi="仿宋" w:eastAsia="仿宋" w:cs="仿宋"/>
          <w:color w:val="auto"/>
          <w:sz w:val="24"/>
          <w:highlight w:val="none"/>
          <w:u w:val="single"/>
          <w:lang w:val="en-US" w:eastAsia="zh-CN"/>
        </w:rPr>
        <w:t>17点00分</w:t>
      </w:r>
      <w:r>
        <w:rPr>
          <w:rFonts w:hint="eastAsia" w:ascii="仿宋" w:hAnsi="仿宋" w:eastAsia="仿宋" w:cs="仿宋"/>
          <w:color w:val="auto"/>
          <w:sz w:val="24"/>
          <w:highlight w:val="none"/>
        </w:rPr>
        <w:t>（北京时间）</w:t>
      </w:r>
    </w:p>
    <w:p>
      <w:pPr>
        <w:spacing w:line="500" w:lineRule="atLeast"/>
        <w:ind w:firstLine="480" w:firstLineChars="200"/>
        <w:rPr>
          <w:rFonts w:hint="eastAsia" w:ascii="仿宋" w:hAnsi="仿宋" w:eastAsia="仿宋" w:cs="仿宋"/>
          <w:bCs/>
          <w:color w:val="auto"/>
          <w:sz w:val="24"/>
          <w:highlight w:val="none"/>
          <w:u w:val="single"/>
        </w:rPr>
      </w:pPr>
      <w:r>
        <w:rPr>
          <w:rFonts w:hint="eastAsia" w:ascii="仿宋" w:hAnsi="仿宋" w:eastAsia="仿宋" w:cs="仿宋"/>
          <w:color w:val="auto"/>
          <w:sz w:val="24"/>
          <w:highlight w:val="none"/>
        </w:rPr>
        <w:t>2.地点：云南师范大学附属世纪金源学校（昆明市广福路3678号）</w:t>
      </w:r>
      <w:r>
        <w:rPr>
          <w:rFonts w:hint="eastAsia" w:ascii="仿宋" w:hAnsi="仿宋" w:eastAsia="仿宋" w:cs="仿宋"/>
          <w:color w:val="auto"/>
          <w:sz w:val="24"/>
          <w:szCs w:val="24"/>
          <w:highlight w:val="none"/>
          <w:lang w:eastAsia="zh-CN"/>
        </w:rPr>
        <w:t>，逾期送达的或者未送达指定地点的响应文件，招标人不予受理</w:t>
      </w:r>
      <w:r>
        <w:rPr>
          <w:rFonts w:hint="eastAsia" w:ascii="仿宋" w:hAnsi="仿宋" w:eastAsia="仿宋" w:cs="仿宋"/>
          <w:color w:val="auto"/>
          <w:sz w:val="24"/>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6" w:name="_Toc200"/>
      <w:r>
        <w:rPr>
          <w:rFonts w:hint="eastAsia" w:ascii="仿宋" w:hAnsi="仿宋" w:eastAsia="仿宋" w:cs="仿宋"/>
          <w:bCs/>
          <w:color w:val="auto"/>
          <w:sz w:val="24"/>
          <w:highlight w:val="none"/>
        </w:rPr>
        <w:t>五、开启</w:t>
      </w:r>
      <w:bookmarkEnd w:id="36"/>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1.时间：</w:t>
      </w:r>
      <w:r>
        <w:rPr>
          <w:rFonts w:hint="eastAsia" w:ascii="仿宋" w:hAnsi="仿宋" w:eastAsia="仿宋" w:cs="仿宋"/>
          <w:color w:val="auto"/>
          <w:sz w:val="24"/>
          <w:highlight w:val="none"/>
          <w:u w:val="single"/>
          <w:lang w:eastAsia="zh-CN"/>
        </w:rPr>
        <w:t>2024年</w:t>
      </w:r>
      <w:r>
        <w:rPr>
          <w:rFonts w:hint="eastAsia" w:ascii="仿宋" w:hAnsi="仿宋" w:eastAsia="仿宋" w:cs="仿宋"/>
          <w:color w:val="auto"/>
          <w:sz w:val="24"/>
          <w:highlight w:val="none"/>
          <w:u w:val="single"/>
          <w:lang w:val="en-US" w:eastAsia="zh-CN"/>
        </w:rPr>
        <w:t>5</w:t>
      </w:r>
      <w:r>
        <w:rPr>
          <w:rFonts w:hint="eastAsia" w:ascii="仿宋" w:hAnsi="仿宋" w:eastAsia="仿宋" w:cs="仿宋"/>
          <w:color w:val="auto"/>
          <w:sz w:val="24"/>
          <w:highlight w:val="none"/>
          <w:u w:val="single"/>
          <w:lang w:eastAsia="zh-CN"/>
        </w:rPr>
        <w:t>月</w:t>
      </w:r>
      <w:r>
        <w:rPr>
          <w:rFonts w:hint="eastAsia" w:ascii="仿宋" w:hAnsi="仿宋" w:eastAsia="仿宋" w:cs="仿宋"/>
          <w:color w:val="auto"/>
          <w:sz w:val="24"/>
          <w:highlight w:val="none"/>
          <w:u w:val="single"/>
          <w:lang w:val="en-US" w:eastAsia="zh-CN"/>
        </w:rPr>
        <w:t>6</w:t>
      </w:r>
      <w:r>
        <w:rPr>
          <w:rFonts w:hint="eastAsia" w:ascii="仿宋" w:hAnsi="仿宋" w:eastAsia="仿宋" w:cs="仿宋"/>
          <w:color w:val="auto"/>
          <w:sz w:val="24"/>
          <w:highlight w:val="none"/>
          <w:u w:val="single"/>
          <w:lang w:eastAsia="zh-CN"/>
        </w:rPr>
        <w:t>日</w:t>
      </w:r>
      <w:r>
        <w:rPr>
          <w:rFonts w:hint="eastAsia" w:ascii="仿宋" w:hAnsi="仿宋" w:eastAsia="仿宋" w:cs="仿宋"/>
          <w:color w:val="auto"/>
          <w:sz w:val="24"/>
          <w:highlight w:val="none"/>
          <w:u w:val="single"/>
          <w:lang w:val="en-US" w:eastAsia="zh-CN"/>
        </w:rPr>
        <w:t>15点30分</w:t>
      </w:r>
      <w:r>
        <w:rPr>
          <w:rFonts w:hint="eastAsia" w:ascii="仿宋" w:hAnsi="仿宋" w:eastAsia="仿宋" w:cs="仿宋"/>
          <w:color w:val="auto"/>
          <w:sz w:val="24"/>
          <w:highlight w:val="none"/>
        </w:rPr>
        <w:t>（北京时间）</w:t>
      </w:r>
    </w:p>
    <w:p>
      <w:pPr>
        <w:spacing w:line="500" w:lineRule="atLeast"/>
        <w:ind w:firstLine="480" w:firstLineChars="200"/>
        <w:rPr>
          <w:rFonts w:hint="eastAsia" w:ascii="仿宋" w:hAnsi="仿宋" w:eastAsia="仿宋" w:cs="仿宋"/>
          <w:bCs/>
          <w:color w:val="auto"/>
          <w:sz w:val="24"/>
          <w:highlight w:val="none"/>
          <w:u w:val="single"/>
        </w:rPr>
      </w:pPr>
      <w:r>
        <w:rPr>
          <w:rFonts w:hint="eastAsia" w:ascii="仿宋" w:hAnsi="仿宋" w:eastAsia="仿宋" w:cs="仿宋"/>
          <w:color w:val="auto"/>
          <w:sz w:val="24"/>
          <w:highlight w:val="none"/>
        </w:rPr>
        <w:t>2.地点：云南师范大学附属世纪金源学校（昆明市广福路3678号）。</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7" w:name="_Toc25939"/>
      <w:r>
        <w:rPr>
          <w:rFonts w:hint="eastAsia" w:ascii="仿宋" w:hAnsi="仿宋" w:eastAsia="仿宋" w:cs="仿宋"/>
          <w:bCs/>
          <w:color w:val="auto"/>
          <w:sz w:val="24"/>
          <w:highlight w:val="none"/>
        </w:rPr>
        <w:t>六、公告期限</w:t>
      </w:r>
      <w:bookmarkEnd w:id="37"/>
    </w:p>
    <w:p>
      <w:pPr>
        <w:spacing w:line="500" w:lineRule="atLeast"/>
        <w:ind w:firstLine="480" w:firstLineChars="200"/>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自本公告发布之日起</w:t>
      </w:r>
      <w:r>
        <w:rPr>
          <w:rFonts w:hint="eastAsia" w:ascii="仿宋" w:hAnsi="仿宋" w:eastAsia="仿宋" w:cs="仿宋"/>
          <w:color w:val="auto"/>
          <w:kern w:val="0"/>
          <w:sz w:val="24"/>
          <w:highlight w:val="none"/>
          <w:lang w:val="en-US" w:eastAsia="zh-CN"/>
        </w:rPr>
        <w:t>3</w:t>
      </w:r>
      <w:r>
        <w:rPr>
          <w:rFonts w:hint="eastAsia" w:ascii="仿宋" w:hAnsi="仿宋" w:eastAsia="仿宋" w:cs="仿宋"/>
          <w:color w:val="auto"/>
          <w:kern w:val="0"/>
          <w:sz w:val="24"/>
          <w:highlight w:val="none"/>
        </w:rPr>
        <w:t>个工作日。</w:t>
      </w:r>
    </w:p>
    <w:p>
      <w:pPr>
        <w:spacing w:line="500" w:lineRule="atLeast"/>
        <w:ind w:firstLine="480" w:firstLineChars="200"/>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七、其他补充事宜</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rPr>
        <w:t>1.开标方式：现场开标</w:t>
      </w:r>
    </w:p>
    <w:p>
      <w:pPr>
        <w:spacing w:line="500" w:lineRule="atLeast"/>
        <w:ind w:firstLine="480" w:firstLineChars="200"/>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2.是否需要缴纳投标保证金：</w:t>
      </w:r>
      <w:r>
        <w:rPr>
          <w:rFonts w:hint="eastAsia" w:ascii="仿宋" w:hAnsi="仿宋" w:eastAsia="仿宋" w:cs="仿宋"/>
          <w:color w:val="auto"/>
          <w:sz w:val="24"/>
          <w:highlight w:val="none"/>
          <w:lang w:val="en-US" w:eastAsia="zh-CN"/>
        </w:rPr>
        <w:t>否</w:t>
      </w:r>
    </w:p>
    <w:p>
      <w:pPr>
        <w:spacing w:line="500" w:lineRule="atLeast"/>
        <w:ind w:firstLine="480" w:firstLineChars="200"/>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3</w:t>
      </w:r>
      <w:r>
        <w:rPr>
          <w:rFonts w:hint="eastAsia" w:ascii="仿宋" w:hAnsi="仿宋" w:eastAsia="仿宋" w:cs="仿宋"/>
          <w:color w:val="auto"/>
          <w:sz w:val="24"/>
          <w:highlight w:val="none"/>
        </w:rPr>
        <w:t>.比选信息、中标公告均仅在以下媒体发布：</w:t>
      </w:r>
      <w:r>
        <w:rPr>
          <w:rFonts w:hint="eastAsia" w:ascii="仿宋" w:hAnsi="仿宋" w:eastAsia="仿宋" w:cs="仿宋"/>
          <w:color w:val="auto"/>
          <w:kern w:val="0"/>
          <w:sz w:val="24"/>
          <w:highlight w:val="none"/>
          <w:lang w:eastAsia="zh-CN"/>
        </w:rPr>
        <w:t>云南师范大学附属世纪金源学校</w:t>
      </w:r>
      <w:r>
        <w:rPr>
          <w:rFonts w:hint="eastAsia" w:ascii="仿宋" w:hAnsi="仿宋" w:eastAsia="仿宋" w:cs="仿宋"/>
          <w:color w:val="auto"/>
          <w:kern w:val="0"/>
          <w:sz w:val="24"/>
          <w:highlight w:val="none"/>
          <w:lang w:val="en-US" w:eastAsia="zh-CN"/>
        </w:rPr>
        <w:t>官网</w:t>
      </w:r>
      <w:r>
        <w:rPr>
          <w:rFonts w:hint="eastAsia" w:ascii="宋体" w:hAnsi="宋体" w:eastAsia="Arial" w:cs="宋体"/>
          <w:color w:val="auto"/>
          <w:spacing w:val="0"/>
          <w:sz w:val="24"/>
          <w:highlight w:val="none"/>
        </w:rPr>
        <w:t>（https://www.ysdsjjy.com/sjjycms/front/index）</w:t>
      </w:r>
      <w:r>
        <w:rPr>
          <w:rFonts w:hint="eastAsia" w:ascii="仿宋" w:hAnsi="仿宋" w:eastAsia="仿宋" w:cs="仿宋"/>
          <w:color w:val="auto"/>
          <w:sz w:val="24"/>
          <w:highlight w:val="none"/>
        </w:rPr>
        <w:t>。</w:t>
      </w:r>
    </w:p>
    <w:p>
      <w:pPr>
        <w:keepNext/>
        <w:keepLines/>
        <w:spacing w:line="500" w:lineRule="atLeast"/>
        <w:ind w:firstLine="480" w:firstLineChars="200"/>
        <w:outlineLvl w:val="1"/>
        <w:rPr>
          <w:rFonts w:hint="eastAsia" w:ascii="仿宋" w:hAnsi="仿宋" w:eastAsia="仿宋" w:cs="仿宋"/>
          <w:bCs/>
          <w:color w:val="auto"/>
          <w:sz w:val="24"/>
          <w:highlight w:val="none"/>
        </w:rPr>
      </w:pPr>
      <w:bookmarkStart w:id="38" w:name="_Toc9119"/>
      <w:r>
        <w:rPr>
          <w:rFonts w:hint="eastAsia" w:ascii="仿宋" w:hAnsi="仿宋" w:eastAsia="仿宋" w:cs="仿宋"/>
          <w:bCs/>
          <w:color w:val="auto"/>
          <w:sz w:val="24"/>
          <w:highlight w:val="none"/>
        </w:rPr>
        <w:t>八、凡对本次</w:t>
      </w:r>
      <w:r>
        <w:rPr>
          <w:rFonts w:hint="eastAsia" w:ascii="仿宋" w:hAnsi="仿宋" w:eastAsia="仿宋" w:cs="仿宋"/>
          <w:bCs/>
          <w:color w:val="auto"/>
          <w:sz w:val="24"/>
          <w:highlight w:val="none"/>
          <w:lang w:val="en-US" w:eastAsia="zh-CN"/>
        </w:rPr>
        <w:t>招标</w:t>
      </w:r>
      <w:r>
        <w:rPr>
          <w:rFonts w:hint="eastAsia" w:ascii="仿宋" w:hAnsi="仿宋" w:eastAsia="仿宋" w:cs="仿宋"/>
          <w:bCs/>
          <w:color w:val="auto"/>
          <w:sz w:val="24"/>
          <w:highlight w:val="none"/>
        </w:rPr>
        <w:t>提出询问，请按以下方式联系</w:t>
      </w:r>
      <w:bookmarkEnd w:id="38"/>
    </w:p>
    <w:p>
      <w:pPr>
        <w:spacing w:line="500" w:lineRule="atLeast"/>
        <w:ind w:firstLine="480" w:firstLineChars="200"/>
        <w:rPr>
          <w:rFonts w:hint="eastAsia" w:ascii="仿宋" w:hAnsi="仿宋" w:eastAsia="仿宋" w:cs="仿宋"/>
          <w:color w:val="auto"/>
          <w:kern w:val="0"/>
          <w:sz w:val="24"/>
          <w:highlight w:val="none"/>
          <w:lang w:eastAsia="zh-CN"/>
        </w:rPr>
      </w:pPr>
      <w:r>
        <w:rPr>
          <w:rFonts w:hint="eastAsia" w:ascii="仿宋" w:hAnsi="仿宋" w:eastAsia="仿宋" w:cs="仿宋"/>
          <w:color w:val="auto"/>
          <w:kern w:val="0"/>
          <w:sz w:val="24"/>
          <w:highlight w:val="none"/>
        </w:rPr>
        <w:t>名    称：</w:t>
      </w:r>
      <w:r>
        <w:rPr>
          <w:rFonts w:hint="eastAsia" w:ascii="仿宋" w:hAnsi="仿宋" w:eastAsia="仿宋" w:cs="仿宋"/>
          <w:color w:val="auto"/>
          <w:kern w:val="0"/>
          <w:sz w:val="24"/>
          <w:highlight w:val="none"/>
          <w:lang w:eastAsia="zh-CN"/>
        </w:rPr>
        <w:t>云南师范大学附属世纪金源学校</w:t>
      </w:r>
    </w:p>
    <w:p>
      <w:pPr>
        <w:spacing w:line="500" w:lineRule="atLeast"/>
        <w:ind w:firstLine="480" w:firstLineChars="200"/>
        <w:rPr>
          <w:rFonts w:hint="default"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rPr>
        <w:t>地    址：</w:t>
      </w:r>
      <w:r>
        <w:rPr>
          <w:rFonts w:hint="eastAsia" w:ascii="仿宋" w:hAnsi="仿宋" w:eastAsia="仿宋" w:cs="仿宋"/>
          <w:color w:val="auto"/>
          <w:sz w:val="24"/>
          <w:highlight w:val="none"/>
        </w:rPr>
        <w:t>昆明市广福路3678号</w:t>
      </w:r>
    </w:p>
    <w:p>
      <w:pPr>
        <w:spacing w:line="500" w:lineRule="atLeast"/>
        <w:ind w:firstLine="480" w:firstLineChars="200"/>
        <w:rPr>
          <w:rFonts w:hint="default" w:ascii="仿宋" w:hAnsi="仿宋" w:eastAsia="仿宋" w:cs="仿宋"/>
          <w:color w:val="000000" w:themeColor="text1"/>
          <w:kern w:val="0"/>
          <w:sz w:val="24"/>
          <w:lang w:val="en-US" w:eastAsia="zh-CN"/>
          <w14:textFill>
            <w14:solidFill>
              <w14:schemeClr w14:val="tx1"/>
            </w14:solidFill>
          </w14:textFill>
        </w:rPr>
      </w:pPr>
      <w:r>
        <w:rPr>
          <w:rFonts w:hint="eastAsia" w:ascii="仿宋" w:hAnsi="仿宋" w:eastAsia="仿宋" w:cs="仿宋"/>
          <w:color w:val="000000" w:themeColor="text1"/>
          <w:kern w:val="0"/>
          <w:sz w:val="24"/>
          <w14:textFill>
            <w14:solidFill>
              <w14:schemeClr w14:val="tx1"/>
            </w14:solidFill>
          </w14:textFill>
        </w:rPr>
        <w:t>联系方式：</w:t>
      </w:r>
      <w:r>
        <w:rPr>
          <w:rFonts w:hint="eastAsia" w:ascii="仿宋" w:hAnsi="仿宋" w:eastAsia="仿宋" w:cs="仿宋"/>
          <w:color w:val="000000" w:themeColor="text1"/>
          <w:kern w:val="0"/>
          <w:sz w:val="24"/>
          <w:lang w:val="en-US" w:eastAsia="zh-CN"/>
          <w14:textFill>
            <w14:solidFill>
              <w14:schemeClr w14:val="tx1"/>
            </w14:solidFill>
          </w14:textFill>
        </w:rPr>
        <w:t>杨</w:t>
      </w:r>
      <w:r>
        <w:rPr>
          <w:rFonts w:hint="eastAsia" w:ascii="仿宋" w:hAnsi="仿宋" w:eastAsia="仿宋" w:cs="仿宋"/>
          <w:color w:val="000000" w:themeColor="text1"/>
          <w:kern w:val="0"/>
          <w:sz w:val="24"/>
          <w14:textFill>
            <w14:solidFill>
              <w14:schemeClr w14:val="tx1"/>
            </w14:solidFill>
          </w14:textFill>
        </w:rPr>
        <w:t xml:space="preserve">老师  </w:t>
      </w:r>
      <w:r>
        <w:rPr>
          <w:rFonts w:hint="eastAsia" w:ascii="仿宋" w:hAnsi="仿宋" w:eastAsia="仿宋" w:cs="仿宋"/>
          <w:color w:val="000000" w:themeColor="text1"/>
          <w:sz w:val="24"/>
          <w:lang w:val="en-US" w:eastAsia="zh-CN"/>
          <w14:textFill>
            <w14:solidFill>
              <w14:schemeClr w14:val="tx1"/>
            </w14:solidFill>
          </w14:textFill>
        </w:rPr>
        <w:t>0871-</w:t>
      </w:r>
      <w:r>
        <w:rPr>
          <w:rFonts w:hint="eastAsia" w:ascii="仿宋" w:hAnsi="仿宋" w:eastAsia="仿宋" w:cs="仿宋"/>
          <w:color w:val="000000" w:themeColor="text1"/>
          <w:kern w:val="0"/>
          <w:sz w:val="24"/>
          <w:lang w:val="en-US" w:eastAsia="zh-CN"/>
          <w14:textFill>
            <w14:solidFill>
              <w14:schemeClr w14:val="tx1"/>
            </w14:solidFill>
          </w14:textFill>
        </w:rPr>
        <w:t xml:space="preserve">67217019  13700636992 </w:t>
      </w:r>
    </w:p>
    <w:p>
      <w:pPr>
        <w:pStyle w:val="2"/>
        <w:numPr>
          <w:ilvl w:val="0"/>
          <w:numId w:val="0"/>
        </w:numPr>
        <w:spacing w:line="600" w:lineRule="exact"/>
        <w:jc w:val="cente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rPr>
          <w:rFonts w:hint="eastAsia" w:ascii="仿宋" w:hAnsi="仿宋" w:eastAsia="仿宋" w:cs="仿宋"/>
          <w:color w:val="auto"/>
          <w:sz w:val="52"/>
          <w:szCs w:val="32"/>
          <w:highlight w:val="none"/>
        </w:rPr>
      </w:pPr>
    </w:p>
    <w:p>
      <w:pPr>
        <w:pStyle w:val="2"/>
        <w:numPr>
          <w:ilvl w:val="0"/>
          <w:numId w:val="0"/>
        </w:numPr>
        <w:spacing w:line="600" w:lineRule="exact"/>
        <w:jc w:val="center"/>
        <w:rPr>
          <w:rFonts w:hint="eastAsia" w:ascii="仿宋" w:hAnsi="仿宋" w:eastAsia="仿宋" w:cs="仿宋"/>
          <w:color w:val="auto"/>
          <w:sz w:val="52"/>
          <w:szCs w:val="32"/>
          <w:highlight w:val="none"/>
        </w:rPr>
      </w:pPr>
    </w:p>
    <w:p>
      <w:pPr>
        <w:pStyle w:val="2"/>
        <w:numPr>
          <w:ilvl w:val="0"/>
          <w:numId w:val="0"/>
        </w:numPr>
        <w:spacing w:line="600" w:lineRule="exact"/>
        <w:jc w:val="center"/>
        <w:rPr>
          <w:rFonts w:hint="eastAsia" w:ascii="仿宋" w:hAnsi="仿宋" w:eastAsia="仿宋" w:cs="仿宋"/>
          <w:color w:val="auto"/>
          <w:sz w:val="52"/>
          <w:szCs w:val="32"/>
          <w:highlight w:val="none"/>
        </w:rPr>
      </w:pPr>
      <w:r>
        <w:rPr>
          <w:rFonts w:hint="eastAsia" w:ascii="仿宋" w:hAnsi="仿宋" w:eastAsia="仿宋" w:cs="仿宋"/>
          <w:color w:val="auto"/>
          <w:sz w:val="52"/>
          <w:szCs w:val="32"/>
          <w:highlight w:val="none"/>
        </w:rPr>
        <w:t>第二章  投标人须知</w:t>
      </w:r>
      <w:bookmarkEnd w:id="26"/>
      <w:bookmarkEnd w:id="27"/>
      <w:bookmarkEnd w:id="28"/>
      <w:bookmarkEnd w:id="29"/>
      <w:bookmarkEnd w:id="30"/>
      <w:bookmarkEnd w:id="31"/>
      <w:bookmarkEnd w:id="32"/>
    </w:p>
    <w:p>
      <w:pPr>
        <w:pStyle w:val="2"/>
        <w:numPr>
          <w:ilvl w:val="0"/>
          <w:numId w:val="0"/>
        </w:numPr>
        <w:spacing w:line="600" w:lineRule="exact"/>
        <w:jc w:val="center"/>
        <w:rPr>
          <w:rFonts w:hint="eastAsia" w:ascii="仿宋" w:hAnsi="仿宋" w:eastAsia="仿宋" w:cs="仿宋"/>
          <w:color w:val="auto"/>
          <w:sz w:val="52"/>
          <w:szCs w:val="32"/>
          <w:highlight w:val="none"/>
        </w:rPr>
      </w:pPr>
      <w:bookmarkStart w:id="39" w:name="_Toc13457"/>
      <w:bookmarkStart w:id="40" w:name="_Toc19679"/>
      <w:r>
        <w:rPr>
          <w:rFonts w:hint="eastAsia" w:ascii="仿宋" w:hAnsi="仿宋" w:eastAsia="仿宋" w:cs="仿宋"/>
          <w:color w:val="auto"/>
          <w:szCs w:val="28"/>
          <w:highlight w:val="none"/>
        </w:rPr>
        <w:t>投标人须知前附表</w:t>
      </w:r>
      <w:bookmarkEnd w:id="39"/>
      <w:bookmarkEnd w:id="40"/>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blHeader/>
          <w:jc w:val="center"/>
        </w:trPr>
        <w:tc>
          <w:tcPr>
            <w:tcW w:w="377" w:type="pct"/>
            <w:vAlign w:val="center"/>
          </w:tcPr>
          <w:p>
            <w:pPr>
              <w:pStyle w:val="19"/>
              <w:spacing w:line="360" w:lineRule="exact"/>
              <w:jc w:val="center"/>
              <w:rPr>
                <w:rFonts w:hint="eastAsia" w:ascii="仿宋" w:hAnsi="仿宋" w:eastAsia="仿宋" w:cs="仿宋"/>
                <w:b/>
                <w:color w:val="auto"/>
                <w:sz w:val="21"/>
                <w:szCs w:val="21"/>
                <w:highlight w:val="none"/>
              </w:rPr>
            </w:pPr>
            <w:bookmarkStart w:id="41" w:name="_Toc21481"/>
            <w:bookmarkStart w:id="42" w:name="_Toc28574"/>
            <w:bookmarkStart w:id="43" w:name="_Toc32188"/>
            <w:bookmarkStart w:id="44" w:name="_Toc22339"/>
            <w:bookmarkStart w:id="45" w:name="_Toc30962"/>
            <w:r>
              <w:rPr>
                <w:rFonts w:hint="eastAsia" w:ascii="仿宋" w:hAnsi="仿宋" w:eastAsia="仿宋" w:cs="仿宋"/>
                <w:b/>
                <w:color w:val="auto"/>
                <w:sz w:val="21"/>
                <w:szCs w:val="21"/>
                <w:highlight w:val="none"/>
              </w:rPr>
              <w:t>条款号</w:t>
            </w:r>
          </w:p>
        </w:tc>
        <w:tc>
          <w:tcPr>
            <w:tcW w:w="974" w:type="pct"/>
            <w:vAlign w:val="center"/>
          </w:tcPr>
          <w:p>
            <w:pPr>
              <w:pStyle w:val="19"/>
              <w:spacing w:line="360" w:lineRule="exact"/>
              <w:jc w:val="center"/>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条 款 名 称</w:t>
            </w:r>
          </w:p>
        </w:tc>
        <w:tc>
          <w:tcPr>
            <w:tcW w:w="3648" w:type="pct"/>
            <w:vAlign w:val="center"/>
          </w:tcPr>
          <w:p>
            <w:pPr>
              <w:pStyle w:val="19"/>
              <w:spacing w:line="360" w:lineRule="exact"/>
              <w:jc w:val="center"/>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编 列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restart"/>
            <w:vAlign w:val="center"/>
          </w:tcPr>
          <w:p>
            <w:pPr>
              <w:pStyle w:val="19"/>
              <w:spacing w:line="360" w:lineRule="exact"/>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p>
        </w:tc>
        <w:tc>
          <w:tcPr>
            <w:tcW w:w="974" w:type="pct"/>
            <w:vAlign w:val="center"/>
          </w:tcPr>
          <w:p>
            <w:pPr>
              <w:pStyle w:val="19"/>
              <w:spacing w:line="360" w:lineRule="exact"/>
              <w:rPr>
                <w:rFonts w:hint="eastAsia" w:ascii="仿宋" w:hAnsi="仿宋" w:eastAsia="仿宋" w:cs="仿宋"/>
                <w:color w:val="auto"/>
                <w:sz w:val="21"/>
                <w:szCs w:val="21"/>
                <w:highlight w:val="none"/>
                <w:u w:val="single"/>
              </w:rPr>
            </w:pPr>
            <w:r>
              <w:rPr>
                <w:rFonts w:hint="eastAsia" w:ascii="仿宋" w:hAnsi="仿宋" w:eastAsia="仿宋" w:cs="仿宋"/>
                <w:bCs/>
                <w:color w:val="auto"/>
                <w:sz w:val="21"/>
                <w:szCs w:val="21"/>
                <w:highlight w:val="none"/>
              </w:rPr>
              <w:t>招标人</w:t>
            </w:r>
          </w:p>
        </w:tc>
        <w:tc>
          <w:tcPr>
            <w:tcW w:w="3648"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eastAsia="zh-CN"/>
              </w:rPr>
              <w:t>云南师范大学附属世纪金源学校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continue"/>
            <w:vAlign w:val="center"/>
          </w:tcPr>
          <w:p>
            <w:pPr>
              <w:spacing w:line="360" w:lineRule="exact"/>
              <w:rPr>
                <w:rFonts w:hint="eastAsia" w:ascii="仿宋" w:hAnsi="仿宋" w:eastAsia="仿宋" w:cs="仿宋"/>
                <w:color w:val="auto"/>
                <w:szCs w:val="21"/>
                <w:highlight w:val="none"/>
              </w:rPr>
            </w:pP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项目名称</w:t>
            </w:r>
          </w:p>
        </w:tc>
        <w:tc>
          <w:tcPr>
            <w:tcW w:w="3648" w:type="pct"/>
            <w:vAlign w:val="center"/>
          </w:tcPr>
          <w:p>
            <w:pPr>
              <w:pStyle w:val="19"/>
              <w:spacing w:line="360" w:lineRule="exact"/>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eastAsia="zh-CN"/>
              </w:rPr>
              <w:t>云南师范大学附属世纪金源学校零星修缮项目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0" w:hRule="atLeast"/>
          <w:jc w:val="center"/>
        </w:trPr>
        <w:tc>
          <w:tcPr>
            <w:tcW w:w="377" w:type="pct"/>
            <w:vMerge w:val="continue"/>
            <w:vAlign w:val="center"/>
          </w:tcPr>
          <w:p>
            <w:pPr>
              <w:spacing w:line="360" w:lineRule="exact"/>
              <w:rPr>
                <w:rFonts w:hint="eastAsia" w:ascii="仿宋" w:hAnsi="仿宋" w:eastAsia="仿宋" w:cs="仿宋"/>
                <w:color w:val="auto"/>
                <w:szCs w:val="21"/>
                <w:highlight w:val="none"/>
              </w:rPr>
            </w:pP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项目编号</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pacing w:val="-11"/>
                <w:sz w:val="21"/>
                <w:szCs w:val="21"/>
                <w:highlight w:val="none"/>
              </w:rPr>
              <w:t>项目预算及最高限价</w:t>
            </w:r>
          </w:p>
        </w:tc>
        <w:tc>
          <w:tcPr>
            <w:tcW w:w="3648"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44690</w:t>
            </w:r>
            <w:r>
              <w:rPr>
                <w:rFonts w:hint="eastAsia" w:ascii="仿宋" w:hAnsi="仿宋" w:eastAsia="仿宋" w:cs="仿宋"/>
                <w:color w:val="auto"/>
                <w:sz w:val="21"/>
                <w:szCs w:val="21"/>
                <w:highlight w:val="none"/>
              </w:rPr>
              <w:t>元（</w:t>
            </w:r>
            <w:r>
              <w:rPr>
                <w:rFonts w:hint="eastAsia" w:ascii="仿宋" w:hAnsi="仿宋" w:eastAsia="仿宋" w:cs="仿宋"/>
                <w:color w:val="auto"/>
                <w:sz w:val="21"/>
                <w:szCs w:val="21"/>
                <w:highlight w:val="none"/>
                <w:lang w:val="en-US" w:eastAsia="zh-CN"/>
              </w:rPr>
              <w:t>大写：肆</w:t>
            </w:r>
            <w:r>
              <w:rPr>
                <w:rFonts w:hint="eastAsia" w:ascii="仿宋" w:hAnsi="仿宋" w:eastAsia="仿宋" w:cs="仿宋"/>
                <w:color w:val="auto"/>
                <w:sz w:val="21"/>
                <w:szCs w:val="21"/>
                <w:highlight w:val="none"/>
              </w:rPr>
              <w:t>万</w:t>
            </w:r>
            <w:r>
              <w:rPr>
                <w:rFonts w:hint="eastAsia" w:ascii="仿宋" w:hAnsi="仿宋" w:eastAsia="仿宋" w:cs="仿宋"/>
                <w:color w:val="auto"/>
                <w:sz w:val="21"/>
                <w:szCs w:val="21"/>
                <w:highlight w:val="none"/>
                <w:lang w:val="en-US" w:eastAsia="zh-CN"/>
              </w:rPr>
              <w:t>肆</w:t>
            </w:r>
            <w:r>
              <w:rPr>
                <w:rFonts w:hint="eastAsia" w:ascii="仿宋" w:hAnsi="仿宋" w:eastAsia="仿宋" w:cs="仿宋"/>
                <w:color w:val="auto"/>
                <w:sz w:val="21"/>
                <w:szCs w:val="21"/>
                <w:highlight w:val="none"/>
              </w:rPr>
              <w:t>仟</w:t>
            </w:r>
            <w:r>
              <w:rPr>
                <w:rFonts w:hint="eastAsia" w:ascii="仿宋" w:hAnsi="仿宋" w:eastAsia="仿宋" w:cs="仿宋"/>
                <w:color w:val="auto"/>
                <w:sz w:val="21"/>
                <w:szCs w:val="21"/>
                <w:highlight w:val="none"/>
                <w:lang w:val="en-US" w:eastAsia="zh-CN"/>
              </w:rPr>
              <w:t>陆佰玖拾</w:t>
            </w:r>
            <w:r>
              <w:rPr>
                <w:rFonts w:hint="eastAsia" w:ascii="仿宋" w:hAnsi="仿宋" w:eastAsia="仿宋" w:cs="仿宋"/>
                <w:color w:val="auto"/>
                <w:sz w:val="21"/>
                <w:szCs w:val="21"/>
                <w:highlight w:val="none"/>
              </w:rPr>
              <w:t>元</w:t>
            </w:r>
            <w:r>
              <w:rPr>
                <w:rFonts w:hint="eastAsia" w:ascii="仿宋" w:hAnsi="仿宋" w:eastAsia="仿宋" w:cs="仿宋"/>
                <w:color w:val="auto"/>
                <w:sz w:val="21"/>
                <w:szCs w:val="21"/>
                <w:highlight w:val="none"/>
                <w:lang w:val="en-US" w:eastAsia="zh-CN"/>
              </w:rPr>
              <w:t>整</w:t>
            </w:r>
            <w:r>
              <w:rPr>
                <w:rFonts w:hint="eastAsia" w:ascii="仿宋" w:hAnsi="仿宋" w:eastAsia="仿宋" w:cs="仿宋"/>
                <w:color w:val="auto"/>
                <w:sz w:val="21"/>
                <w:szCs w:val="21"/>
                <w:highlight w:val="none"/>
              </w:rPr>
              <w:t>）</w:t>
            </w:r>
            <w:bookmarkStart w:id="461" w:name="_GoBack"/>
            <w:bookmarkEnd w:id="461"/>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招标</w:t>
            </w:r>
            <w:r>
              <w:rPr>
                <w:rFonts w:hint="eastAsia" w:ascii="仿宋" w:hAnsi="仿宋" w:eastAsia="仿宋" w:cs="仿宋"/>
                <w:color w:val="auto"/>
                <w:sz w:val="21"/>
                <w:szCs w:val="21"/>
                <w:highlight w:val="none"/>
              </w:rPr>
              <w:t>内容</w:t>
            </w:r>
          </w:p>
        </w:tc>
        <w:tc>
          <w:tcPr>
            <w:tcW w:w="3648" w:type="pct"/>
            <w:vAlign w:val="center"/>
          </w:tcPr>
          <w:p>
            <w:pPr>
              <w:spacing w:line="500" w:lineRule="atLeast"/>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SA"/>
              </w:rPr>
              <w:t>楼梯刷漆等11个单项维修（具体明细及施工工艺详见《学校零星修缮项目报价表》）。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3.2</w:t>
            </w:r>
          </w:p>
        </w:tc>
        <w:tc>
          <w:tcPr>
            <w:tcW w:w="974"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服务期</w:t>
            </w:r>
          </w:p>
        </w:tc>
        <w:tc>
          <w:tcPr>
            <w:tcW w:w="3648" w:type="pct"/>
            <w:vAlign w:val="center"/>
          </w:tcPr>
          <w:p>
            <w:pPr>
              <w:spacing w:line="420" w:lineRule="exact"/>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val="en-US" w:eastAsia="zh-CN" w:bidi="ar-SA"/>
              </w:rPr>
              <w:t>签订合同后根据学校要求进行维修施工。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3.3</w:t>
            </w:r>
          </w:p>
        </w:tc>
        <w:tc>
          <w:tcPr>
            <w:tcW w:w="974"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kern w:val="2"/>
                <w:sz w:val="21"/>
                <w:szCs w:val="21"/>
                <w:highlight w:val="none"/>
                <w:lang w:val="en-US" w:eastAsia="zh-CN"/>
              </w:rPr>
              <w:t>服务地点</w:t>
            </w:r>
          </w:p>
        </w:tc>
        <w:tc>
          <w:tcPr>
            <w:tcW w:w="3648" w:type="pct"/>
            <w:vAlign w:val="center"/>
          </w:tcPr>
          <w:p>
            <w:pPr>
              <w:pStyle w:val="19"/>
              <w:spacing w:line="360" w:lineRule="exact"/>
              <w:rPr>
                <w:rFonts w:hint="eastAsia" w:ascii="仿宋" w:hAnsi="仿宋" w:eastAsia="仿宋" w:cs="仿宋"/>
                <w:color w:val="auto"/>
                <w:szCs w:val="21"/>
                <w:highlight w:val="none"/>
              </w:rPr>
            </w:pPr>
            <w:r>
              <w:rPr>
                <w:rFonts w:hint="eastAsia" w:ascii="仿宋" w:hAnsi="仿宋" w:eastAsia="仿宋" w:cs="仿宋"/>
                <w:color w:val="auto"/>
                <w:sz w:val="21"/>
                <w:szCs w:val="21"/>
                <w:highlight w:val="none"/>
                <w:lang w:eastAsia="zh-CN"/>
              </w:rPr>
              <w:t>云南师范大学附属世纪金源学校</w:t>
            </w:r>
            <w:r>
              <w:rPr>
                <w:rFonts w:hint="eastAsia" w:ascii="仿宋" w:hAnsi="仿宋" w:eastAsia="仿宋" w:cs="仿宋"/>
                <w:color w:val="auto"/>
                <w:sz w:val="21"/>
                <w:szCs w:val="21"/>
                <w:highlight w:val="none"/>
              </w:rPr>
              <w:t>校指定地点。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投标人资格要求</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1.第一中标候选人的行贿犯罪档案信息查询，招标人等可以通过“中国裁判文书网”查询相关信息；</w:t>
            </w:r>
          </w:p>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3.其他：</w:t>
            </w:r>
          </w:p>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（1）资质条件：投标人须是在中华人民共和国境内经国家工商行政管理部门登记注册具有独立企业（事业）法人或其他组织，</w:t>
            </w:r>
            <w:r>
              <w:rPr>
                <w:rFonts w:hint="eastAsia" w:ascii="仿宋" w:hAnsi="仿宋" w:eastAsia="仿宋" w:cs="仿宋"/>
                <w:color w:val="auto"/>
                <w:sz w:val="21"/>
                <w:szCs w:val="21"/>
                <w:highlight w:val="none"/>
                <w:lang w:eastAsia="zh-CN"/>
              </w:rPr>
              <w:t>具备有效的营业执照等证明文件。</w:t>
            </w:r>
          </w:p>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2</w:t>
            </w:r>
            <w:r>
              <w:rPr>
                <w:rFonts w:hint="eastAsia" w:ascii="仿宋" w:hAnsi="仿宋" w:eastAsia="仿宋" w:cs="仿宋"/>
                <w:color w:val="auto"/>
                <w:sz w:val="21"/>
                <w:szCs w:val="21"/>
                <w:highlight w:val="none"/>
              </w:rPr>
              <w:t>）财务要求：提供经第三方审计机构审计的2021年或2022年财务状况审计报告</w:t>
            </w:r>
            <w:r>
              <w:rPr>
                <w:rFonts w:hint="eastAsia" w:ascii="仿宋" w:hAnsi="仿宋" w:eastAsia="仿宋" w:cs="仿宋"/>
                <w:color w:val="auto"/>
                <w:sz w:val="21"/>
                <w:szCs w:val="21"/>
                <w:highlight w:val="none"/>
                <w:lang w:val="en-US" w:eastAsia="zh-CN"/>
              </w:rPr>
              <w:t>或财务报表</w:t>
            </w:r>
            <w:r>
              <w:rPr>
                <w:rFonts w:hint="eastAsia" w:ascii="仿宋" w:hAnsi="仿宋" w:eastAsia="仿宋" w:cs="仿宋"/>
                <w:color w:val="auto"/>
                <w:sz w:val="21"/>
                <w:szCs w:val="21"/>
                <w:highlight w:val="none"/>
              </w:rPr>
              <w:t>；</w:t>
            </w:r>
          </w:p>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3</w:t>
            </w:r>
            <w:r>
              <w:rPr>
                <w:rFonts w:hint="eastAsia" w:ascii="仿宋" w:hAnsi="仿宋" w:eastAsia="仿宋" w:cs="仿宋"/>
                <w:color w:val="auto"/>
                <w:sz w:val="21"/>
                <w:szCs w:val="21"/>
                <w:highlight w:val="none"/>
              </w:rPr>
              <w:t>）信誉要求：投标人没有处于被责令停业、投标资格被暂停或取消、财产被接管、冻结、破产等状态；2020年1月1日至今没有骗取中标和严重违约、没有被项目所在地政府或国家部委禁止市场准入等情形（提供承诺书或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★4.2</w:t>
            </w:r>
          </w:p>
        </w:tc>
        <w:tc>
          <w:tcPr>
            <w:tcW w:w="974" w:type="pct"/>
            <w:vAlign w:val="center"/>
          </w:tcPr>
          <w:p>
            <w:pPr>
              <w:autoSpaceDE w:val="0"/>
              <w:autoSpaceDN w:val="0"/>
              <w:snapToGrid w:val="0"/>
              <w:spacing w:line="36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spacing w:val="-11"/>
                <w:kern w:val="0"/>
                <w:szCs w:val="21"/>
                <w:highlight w:val="none"/>
              </w:rPr>
              <w:t>是否接受联合体比选</w:t>
            </w:r>
          </w:p>
        </w:tc>
        <w:tc>
          <w:tcPr>
            <w:tcW w:w="3648" w:type="pct"/>
            <w:vAlign w:val="center"/>
          </w:tcPr>
          <w:p>
            <w:pPr>
              <w:autoSpaceDE w:val="0"/>
              <w:autoSpaceDN w:val="0"/>
              <w:snapToGrid w:val="0"/>
              <w:spacing w:line="360" w:lineRule="exact"/>
              <w:textAlignment w:val="bottom"/>
              <w:rPr>
                <w:rFonts w:hint="eastAsia" w:ascii="仿宋" w:hAnsi="仿宋" w:eastAsia="仿宋" w:cs="仿宋"/>
                <w:bCs/>
                <w:color w:val="auto"/>
                <w:szCs w:val="21"/>
                <w:highlight w:val="none"/>
              </w:rPr>
            </w:pPr>
            <w:r>
              <w:rPr>
                <w:rFonts w:hint="eastAsia" w:ascii="仿宋" w:hAnsi="仿宋" w:eastAsia="仿宋" w:cs="仿宋"/>
                <w:bCs/>
                <w:color w:val="auto"/>
                <w:szCs w:val="21"/>
                <w:highlight w:val="none"/>
              </w:rPr>
              <w:t>不接受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20" w:lineRule="exact"/>
              <w:jc w:val="center"/>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5</w:t>
            </w:r>
            <w:r>
              <w:rPr>
                <w:rFonts w:hint="eastAsia" w:ascii="仿宋" w:hAnsi="仿宋" w:eastAsia="仿宋" w:cs="仿宋"/>
                <w:color w:val="auto"/>
                <w:szCs w:val="21"/>
                <w:highlight w:val="none"/>
              </w:rPr>
              <w:t>.1</w:t>
            </w:r>
          </w:p>
        </w:tc>
        <w:tc>
          <w:tcPr>
            <w:tcW w:w="974" w:type="pct"/>
            <w:vAlign w:val="center"/>
          </w:tcPr>
          <w:p>
            <w:pPr>
              <w:autoSpaceDE w:val="0"/>
              <w:autoSpaceDN w:val="0"/>
              <w:snapToGrid w:val="0"/>
              <w:spacing w:line="32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投标人要求澄清比选文件的截止时间</w:t>
            </w:r>
          </w:p>
        </w:tc>
        <w:tc>
          <w:tcPr>
            <w:tcW w:w="3648" w:type="pct"/>
            <w:vAlign w:val="center"/>
          </w:tcPr>
          <w:p>
            <w:pPr>
              <w:autoSpaceDE w:val="0"/>
              <w:autoSpaceDN w:val="0"/>
              <w:snapToGrid w:val="0"/>
              <w:spacing w:line="32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比选截止时间1日前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5</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2</w:t>
            </w:r>
          </w:p>
        </w:tc>
        <w:tc>
          <w:tcPr>
            <w:tcW w:w="974" w:type="pct"/>
            <w:vAlign w:val="center"/>
          </w:tcPr>
          <w:p>
            <w:pPr>
              <w:autoSpaceDE w:val="0"/>
              <w:autoSpaceDN w:val="0"/>
              <w:snapToGrid w:val="0"/>
              <w:spacing w:line="360" w:lineRule="exact"/>
              <w:textAlignment w:val="bottom"/>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比选文件澄清联系方式</w:t>
            </w:r>
          </w:p>
        </w:tc>
        <w:tc>
          <w:tcPr>
            <w:tcW w:w="3648" w:type="pct"/>
            <w:vAlign w:val="center"/>
          </w:tcPr>
          <w:p>
            <w:pPr>
              <w:autoSpaceDE w:val="0"/>
              <w:autoSpaceDN w:val="0"/>
              <w:snapToGrid w:val="0"/>
              <w:spacing w:line="360" w:lineRule="exact"/>
              <w:textAlignment w:val="bottom"/>
              <w:rPr>
                <w:rFonts w:hint="eastAsia" w:ascii="仿宋" w:hAnsi="仿宋" w:eastAsia="仿宋" w:cs="仿宋"/>
                <w:bCs/>
                <w:color w:val="auto"/>
                <w:szCs w:val="21"/>
                <w:highlight w:val="none"/>
                <w:lang w:eastAsia="zh-CN"/>
              </w:rPr>
            </w:pPr>
            <w:r>
              <w:rPr>
                <w:rFonts w:hint="eastAsia" w:ascii="仿宋" w:hAnsi="仿宋" w:eastAsia="仿宋" w:cs="仿宋"/>
                <w:bCs/>
                <w:color w:val="auto"/>
                <w:szCs w:val="21"/>
                <w:highlight w:val="none"/>
              </w:rPr>
              <w:t>澄清联系人：</w:t>
            </w:r>
            <w:r>
              <w:rPr>
                <w:rFonts w:hint="eastAsia" w:ascii="仿宋" w:hAnsi="仿宋" w:eastAsia="仿宋" w:cs="仿宋"/>
                <w:bCs/>
                <w:color w:val="auto"/>
                <w:szCs w:val="21"/>
                <w:highlight w:val="none"/>
                <w:lang w:val="en-US" w:eastAsia="zh-CN"/>
              </w:rPr>
              <w:t>杨老师</w:t>
            </w:r>
          </w:p>
          <w:p>
            <w:pPr>
              <w:autoSpaceDE w:val="0"/>
              <w:autoSpaceDN w:val="0"/>
              <w:snapToGrid w:val="0"/>
              <w:spacing w:line="360" w:lineRule="exact"/>
              <w:textAlignment w:val="bottom"/>
              <w:rPr>
                <w:rFonts w:hint="eastAsia" w:ascii="仿宋" w:hAnsi="仿宋" w:eastAsia="仿宋" w:cs="仿宋"/>
                <w:color w:val="auto"/>
                <w:kern w:val="0"/>
                <w:szCs w:val="21"/>
                <w:highlight w:val="none"/>
              </w:rPr>
            </w:pPr>
            <w:r>
              <w:rPr>
                <w:rFonts w:hint="eastAsia" w:ascii="仿宋" w:hAnsi="仿宋" w:eastAsia="仿宋" w:cs="仿宋"/>
                <w:bCs/>
                <w:color w:val="auto"/>
                <w:szCs w:val="21"/>
                <w:highlight w:val="none"/>
              </w:rPr>
              <w:t>电话：</w:t>
            </w:r>
            <w:r>
              <w:rPr>
                <w:rFonts w:hint="eastAsia" w:ascii="仿宋" w:hAnsi="仿宋" w:eastAsia="仿宋" w:cs="仿宋"/>
                <w:bCs/>
                <w:color w:val="auto"/>
                <w:szCs w:val="21"/>
                <w:highlight w:val="none"/>
                <w:lang w:eastAsia="zh-CN"/>
              </w:rPr>
              <w:t>0871-67217019</w:t>
            </w:r>
            <w:r>
              <w:rPr>
                <w:rFonts w:hint="eastAsia" w:ascii="仿宋" w:hAnsi="仿宋" w:eastAsia="仿宋" w:cs="仿宋"/>
                <w:bCs/>
                <w:color w:val="auto"/>
                <w:szCs w:val="21"/>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Cs w:val="21"/>
                <w:highlight w:val="none"/>
              </w:rPr>
            </w:pPr>
            <w:r>
              <w:rPr>
                <w:rFonts w:hint="eastAsia" w:ascii="仿宋" w:hAnsi="仿宋" w:eastAsia="仿宋" w:cs="仿宋"/>
                <w:color w:val="auto"/>
                <w:sz w:val="21"/>
                <w:szCs w:val="21"/>
                <w:highlight w:val="none"/>
              </w:rPr>
              <w:t>构成响应文件的其他资料</w:t>
            </w:r>
          </w:p>
        </w:tc>
        <w:tc>
          <w:tcPr>
            <w:tcW w:w="3648" w:type="pct"/>
            <w:vAlign w:val="center"/>
          </w:tcPr>
          <w:p>
            <w:pPr>
              <w:pStyle w:val="19"/>
              <w:numPr>
                <w:ilvl w:val="0"/>
                <w:numId w:val="4"/>
              </w:numPr>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澄清、承诺等</w:t>
            </w:r>
          </w:p>
          <w:p>
            <w:pPr>
              <w:pStyle w:val="19"/>
              <w:numPr>
                <w:ilvl w:val="0"/>
                <w:numId w:val="4"/>
              </w:numPr>
              <w:spacing w:line="360" w:lineRule="exact"/>
              <w:rPr>
                <w:rFonts w:hint="eastAsia" w:ascii="仿宋" w:hAnsi="仿宋" w:eastAsia="仿宋" w:cs="仿宋"/>
                <w:color w:val="auto"/>
                <w:highlight w:val="none"/>
              </w:rPr>
            </w:pPr>
            <w:r>
              <w:rPr>
                <w:rFonts w:hint="eastAsia" w:ascii="仿宋" w:hAnsi="仿宋" w:eastAsia="仿宋" w:cs="仿宋"/>
                <w:color w:val="auto"/>
                <w:sz w:val="21"/>
                <w:szCs w:val="21"/>
                <w:highlight w:val="none"/>
              </w:rPr>
              <w:t>投标人认为必须提供的其他相关资料。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7</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有效期</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递交响应文件的截止日期后</w:t>
            </w:r>
            <w:r>
              <w:rPr>
                <w:rFonts w:hint="eastAsia" w:ascii="仿宋" w:hAnsi="仿宋" w:eastAsia="仿宋" w:cs="仿宋"/>
                <w:color w:val="auto"/>
                <w:sz w:val="21"/>
                <w:szCs w:val="21"/>
                <w:highlight w:val="none"/>
                <w:u w:val="single"/>
              </w:rPr>
              <w:t>90</w:t>
            </w:r>
            <w:r>
              <w:rPr>
                <w:rFonts w:hint="eastAsia" w:ascii="仿宋" w:hAnsi="仿宋" w:eastAsia="仿宋" w:cs="仿宋"/>
                <w:color w:val="auto"/>
                <w:sz w:val="21"/>
                <w:szCs w:val="21"/>
                <w:highlight w:val="none"/>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lang w:val="en-US" w:eastAsia="zh-CN"/>
              </w:rPr>
              <w:t>8</w:t>
            </w: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响应文件副本份数</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u w:val="single"/>
              </w:rPr>
              <w:t>2</w:t>
            </w:r>
            <w:r>
              <w:rPr>
                <w:rFonts w:hint="eastAsia" w:ascii="仿宋" w:hAnsi="仿宋" w:eastAsia="仿宋" w:cs="仿宋"/>
                <w:color w:val="auto"/>
                <w:sz w:val="21"/>
                <w:szCs w:val="21"/>
                <w:highlight w:val="none"/>
              </w:rPr>
              <w:t xml:space="preserve">份；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r>
              <w:rPr>
                <w:rFonts w:hint="eastAsia" w:ascii="仿宋" w:hAnsi="仿宋" w:eastAsia="仿宋" w:cs="仿宋"/>
                <w:color w:val="auto"/>
                <w:sz w:val="21"/>
                <w:szCs w:val="21"/>
                <w:highlight w:val="none"/>
                <w:lang w:val="en-US" w:eastAsia="zh-CN"/>
              </w:rPr>
              <w:t>9</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比选保证金</w:t>
            </w:r>
          </w:p>
        </w:tc>
        <w:tc>
          <w:tcPr>
            <w:tcW w:w="3648" w:type="pct"/>
            <w:vAlign w:val="center"/>
          </w:tcPr>
          <w:p>
            <w:pPr>
              <w:spacing w:line="360" w:lineRule="exact"/>
              <w:rPr>
                <w:rFonts w:hint="default" w:ascii="仿宋" w:hAnsi="仿宋" w:eastAsia="仿宋" w:cs="仿宋"/>
                <w:color w:val="auto"/>
                <w:szCs w:val="21"/>
                <w:highlight w:val="none"/>
                <w:lang w:val="en-US" w:eastAsia="zh-CN"/>
              </w:rPr>
            </w:pPr>
            <w:r>
              <w:rPr>
                <w:rFonts w:hint="eastAsia" w:ascii="仿宋" w:hAnsi="仿宋" w:eastAsia="仿宋" w:cs="仿宋"/>
                <w:color w:val="auto"/>
                <w:highlight w:val="none"/>
                <w:lang w:val="en-US" w:eastAsia="zh-CN"/>
              </w:rPr>
              <w:t>本项目不收取比选保证金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377" w:type="pct"/>
            <w:vAlign w:val="center"/>
          </w:tcPr>
          <w:p>
            <w:pPr>
              <w:pStyle w:val="32"/>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0</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响应文件的提交</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正本1份，副本2份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32"/>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递交响应文件的截止时间</w:t>
            </w:r>
          </w:p>
        </w:tc>
        <w:tc>
          <w:tcPr>
            <w:tcW w:w="3648" w:type="pct"/>
            <w:vAlign w:val="center"/>
          </w:tcPr>
          <w:p>
            <w:pPr>
              <w:pStyle w:val="19"/>
              <w:spacing w:line="360" w:lineRule="exact"/>
              <w:rPr>
                <w:rFonts w:hint="eastAsia" w:ascii="仿宋" w:hAnsi="仿宋" w:eastAsia="仿宋" w:cs="仿宋"/>
                <w:color w:val="auto"/>
                <w:sz w:val="21"/>
                <w:szCs w:val="21"/>
                <w:highlight w:val="none"/>
                <w:lang w:eastAsia="zh-CN"/>
              </w:rPr>
            </w:pPr>
            <w:r>
              <w:rPr>
                <w:rFonts w:hint="eastAsia" w:ascii="仿宋" w:hAnsi="仿宋" w:eastAsia="仿宋" w:cs="仿宋"/>
                <w:color w:val="auto"/>
                <w:sz w:val="24"/>
                <w:highlight w:val="none"/>
                <w:u w:val="single"/>
                <w:lang w:eastAsia="zh-CN"/>
              </w:rPr>
              <w:t>2024年</w:t>
            </w:r>
            <w:r>
              <w:rPr>
                <w:rFonts w:hint="eastAsia" w:ascii="仿宋" w:hAnsi="仿宋" w:eastAsia="仿宋" w:cs="仿宋"/>
                <w:color w:val="auto"/>
                <w:sz w:val="24"/>
                <w:highlight w:val="none"/>
                <w:u w:val="single"/>
                <w:lang w:val="en-US" w:eastAsia="zh-CN"/>
              </w:rPr>
              <w:t>4</w:t>
            </w:r>
            <w:r>
              <w:rPr>
                <w:rFonts w:hint="eastAsia" w:ascii="仿宋" w:hAnsi="仿宋" w:eastAsia="仿宋" w:cs="仿宋"/>
                <w:color w:val="auto"/>
                <w:sz w:val="24"/>
                <w:highlight w:val="none"/>
                <w:u w:val="single"/>
                <w:lang w:eastAsia="zh-CN"/>
              </w:rPr>
              <w:t>月</w:t>
            </w:r>
            <w:r>
              <w:rPr>
                <w:rFonts w:hint="eastAsia" w:ascii="仿宋" w:hAnsi="仿宋" w:eastAsia="仿宋" w:cs="仿宋"/>
                <w:color w:val="auto"/>
                <w:sz w:val="24"/>
                <w:highlight w:val="none"/>
                <w:u w:val="single"/>
                <w:lang w:val="en-US" w:eastAsia="zh-CN"/>
              </w:rPr>
              <w:t>30</w:t>
            </w:r>
            <w:r>
              <w:rPr>
                <w:rFonts w:hint="eastAsia" w:ascii="仿宋" w:hAnsi="仿宋" w:eastAsia="仿宋" w:cs="仿宋"/>
                <w:color w:val="auto"/>
                <w:sz w:val="24"/>
                <w:highlight w:val="none"/>
                <w:u w:val="single"/>
                <w:lang w:eastAsia="zh-CN"/>
              </w:rPr>
              <w:t>日</w:t>
            </w:r>
            <w:r>
              <w:rPr>
                <w:rFonts w:hint="eastAsia" w:ascii="仿宋" w:hAnsi="仿宋" w:eastAsia="仿宋" w:cs="仿宋"/>
                <w:color w:val="auto"/>
                <w:sz w:val="24"/>
                <w:highlight w:val="none"/>
                <w:u w:val="single"/>
                <w:lang w:val="en-US" w:eastAsia="zh-CN"/>
              </w:rPr>
              <w:t>17点00分</w:t>
            </w:r>
            <w:r>
              <w:rPr>
                <w:rFonts w:hint="eastAsia" w:ascii="仿宋" w:hAnsi="仿宋" w:eastAsia="仿宋" w:cs="仿宋"/>
                <w:color w:val="auto"/>
                <w:sz w:val="24"/>
                <w:highlight w:val="none"/>
              </w:rPr>
              <w:t>（北京时间）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34" w:hRule="atLeast"/>
          <w:jc w:val="center"/>
        </w:trPr>
        <w:tc>
          <w:tcPr>
            <w:tcW w:w="377" w:type="pct"/>
            <w:vAlign w:val="center"/>
          </w:tcPr>
          <w:p>
            <w:pPr>
              <w:pStyle w:val="32"/>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.2</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递交响应文件地点</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云南师范大学附属世纪金源学校（昆明市广福路3678号），逾期送达的或者未送达指定地点的响应文件，</w:t>
            </w:r>
            <w:r>
              <w:rPr>
                <w:rFonts w:hint="eastAsia" w:ascii="仿宋" w:hAnsi="仿宋" w:eastAsia="仿宋" w:cs="仿宋"/>
                <w:color w:val="auto"/>
                <w:sz w:val="21"/>
                <w:szCs w:val="21"/>
                <w:highlight w:val="none"/>
                <w:lang w:eastAsia="zh-CN"/>
              </w:rPr>
              <w:t>招标人</w:t>
            </w:r>
            <w:r>
              <w:rPr>
                <w:rFonts w:hint="eastAsia" w:ascii="仿宋" w:hAnsi="仿宋" w:eastAsia="仿宋" w:cs="仿宋"/>
                <w:color w:val="auto"/>
                <w:sz w:val="21"/>
                <w:szCs w:val="21"/>
                <w:highlight w:val="none"/>
              </w:rPr>
              <w:t>不予受理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5" w:hRule="atLeast"/>
          <w:jc w:val="center"/>
        </w:trPr>
        <w:tc>
          <w:tcPr>
            <w:tcW w:w="377" w:type="pct"/>
            <w:vAlign w:val="center"/>
          </w:tcPr>
          <w:p>
            <w:pPr>
              <w:pStyle w:val="32"/>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r>
              <w:rPr>
                <w:rFonts w:hint="eastAsia" w:ascii="仿宋" w:hAnsi="仿宋" w:eastAsia="仿宋" w:cs="仿宋"/>
                <w:color w:val="auto"/>
                <w:sz w:val="21"/>
                <w:szCs w:val="21"/>
                <w:highlight w:val="none"/>
                <w:lang w:val="en-US" w:eastAsia="zh-CN"/>
              </w:rPr>
              <w:t>1</w:t>
            </w:r>
            <w:r>
              <w:rPr>
                <w:rFonts w:hint="eastAsia" w:ascii="仿宋" w:hAnsi="仿宋" w:eastAsia="仿宋" w:cs="仿宋"/>
                <w:color w:val="auto"/>
                <w:sz w:val="21"/>
                <w:szCs w:val="21"/>
                <w:highlight w:val="none"/>
              </w:rPr>
              <w:t>.3</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是否退还响应文件</w:t>
            </w:r>
          </w:p>
        </w:tc>
        <w:tc>
          <w:tcPr>
            <w:tcW w:w="3648"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b/>
                <w:color w:val="auto"/>
                <w:sz w:val="21"/>
                <w:szCs w:val="21"/>
                <w:highlight w:val="none"/>
              </w:rPr>
              <w:fldChar w:fldCharType="begin"/>
            </w:r>
            <w:r>
              <w:rPr>
                <w:rFonts w:hint="eastAsia" w:ascii="仿宋" w:hAnsi="仿宋" w:eastAsia="仿宋" w:cs="仿宋"/>
                <w:b/>
                <w:color w:val="auto"/>
                <w:sz w:val="21"/>
                <w:szCs w:val="21"/>
                <w:highlight w:val="none"/>
              </w:rPr>
              <w:instrText xml:space="preserve"> EQ \o(□,√)</w:instrText>
            </w:r>
            <w:r>
              <w:rPr>
                <w:rFonts w:hint="eastAsia" w:ascii="仿宋" w:hAnsi="仿宋" w:eastAsia="仿宋" w:cs="仿宋"/>
                <w:b/>
                <w:color w:val="auto"/>
                <w:sz w:val="21"/>
                <w:szCs w:val="21"/>
                <w:highlight w:val="none"/>
              </w:rPr>
              <w:fldChar w:fldCharType="end"/>
            </w:r>
            <w:r>
              <w:rPr>
                <w:rFonts w:hint="eastAsia" w:ascii="仿宋" w:hAnsi="仿宋" w:eastAsia="仿宋" w:cs="仿宋"/>
                <w:b/>
                <w:color w:val="auto"/>
                <w:sz w:val="21"/>
                <w:szCs w:val="21"/>
                <w:highlight w:val="none"/>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16</w:t>
            </w:r>
            <w:r>
              <w:rPr>
                <w:rFonts w:hint="eastAsia" w:ascii="仿宋" w:hAnsi="仿宋" w:eastAsia="仿宋" w:cs="仿宋"/>
                <w:color w:val="auto"/>
                <w:sz w:val="21"/>
                <w:szCs w:val="21"/>
                <w:highlight w:val="none"/>
                <w:lang w:val="en-US" w:eastAsia="zh-CN"/>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比选时间和地点</w:t>
            </w:r>
          </w:p>
        </w:tc>
        <w:tc>
          <w:tcPr>
            <w:tcW w:w="3648" w:type="pct"/>
            <w:vAlign w:val="center"/>
          </w:tcPr>
          <w:p>
            <w:pPr>
              <w:pStyle w:val="19"/>
              <w:spacing w:line="360" w:lineRule="exact"/>
              <w:jc w:val="both"/>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比选时间：</w:t>
            </w:r>
            <w:r>
              <w:rPr>
                <w:rFonts w:hint="eastAsia" w:ascii="仿宋" w:hAnsi="仿宋" w:eastAsia="仿宋" w:cs="仿宋"/>
                <w:color w:val="auto"/>
                <w:sz w:val="24"/>
                <w:highlight w:val="none"/>
                <w:u w:val="single"/>
                <w:lang w:eastAsia="zh-CN"/>
              </w:rPr>
              <w:t>2024年</w:t>
            </w:r>
            <w:r>
              <w:rPr>
                <w:rFonts w:hint="eastAsia" w:ascii="仿宋" w:hAnsi="仿宋" w:eastAsia="仿宋" w:cs="仿宋"/>
                <w:color w:val="auto"/>
                <w:sz w:val="24"/>
                <w:highlight w:val="none"/>
                <w:u w:val="single"/>
                <w:lang w:val="en-US" w:eastAsia="zh-CN"/>
              </w:rPr>
              <w:t>5</w:t>
            </w:r>
            <w:r>
              <w:rPr>
                <w:rFonts w:hint="eastAsia" w:ascii="仿宋" w:hAnsi="仿宋" w:eastAsia="仿宋" w:cs="仿宋"/>
                <w:color w:val="auto"/>
                <w:sz w:val="24"/>
                <w:highlight w:val="none"/>
                <w:u w:val="single"/>
                <w:lang w:eastAsia="zh-CN"/>
              </w:rPr>
              <w:t>月</w:t>
            </w:r>
            <w:r>
              <w:rPr>
                <w:rFonts w:hint="eastAsia" w:ascii="仿宋" w:hAnsi="仿宋" w:eastAsia="仿宋" w:cs="仿宋"/>
                <w:color w:val="auto"/>
                <w:sz w:val="24"/>
                <w:highlight w:val="none"/>
                <w:u w:val="single"/>
                <w:lang w:val="en-US" w:eastAsia="zh-CN"/>
              </w:rPr>
              <w:t>6</w:t>
            </w:r>
            <w:r>
              <w:rPr>
                <w:rFonts w:hint="eastAsia" w:ascii="仿宋" w:hAnsi="仿宋" w:eastAsia="仿宋" w:cs="仿宋"/>
                <w:color w:val="auto"/>
                <w:sz w:val="24"/>
                <w:highlight w:val="none"/>
                <w:u w:val="single"/>
                <w:lang w:eastAsia="zh-CN"/>
              </w:rPr>
              <w:t>日</w:t>
            </w:r>
            <w:r>
              <w:rPr>
                <w:rFonts w:hint="eastAsia" w:ascii="仿宋" w:hAnsi="仿宋" w:eastAsia="仿宋" w:cs="仿宋"/>
                <w:color w:val="auto"/>
                <w:sz w:val="24"/>
                <w:highlight w:val="none"/>
                <w:u w:val="single"/>
                <w:lang w:val="en-US" w:eastAsia="zh-CN"/>
              </w:rPr>
              <w:t>15点30分</w:t>
            </w:r>
            <w:r>
              <w:rPr>
                <w:rFonts w:hint="eastAsia" w:ascii="仿宋" w:hAnsi="仿宋" w:eastAsia="仿宋" w:cs="仿宋"/>
                <w:color w:val="auto"/>
                <w:sz w:val="24"/>
                <w:highlight w:val="none"/>
              </w:rPr>
              <w:t>（北京时间）</w:t>
            </w:r>
          </w:p>
          <w:p>
            <w:pPr>
              <w:pStyle w:val="19"/>
              <w:spacing w:line="360" w:lineRule="exact"/>
              <w:rPr>
                <w:rFonts w:hint="eastAsia" w:ascii="仿宋" w:hAnsi="仿宋" w:eastAsia="仿宋" w:cs="仿宋"/>
                <w:color w:val="auto"/>
                <w:sz w:val="21"/>
                <w:szCs w:val="21"/>
                <w:highlight w:val="none"/>
                <w:u w:val="single"/>
              </w:rPr>
            </w:pPr>
            <w:r>
              <w:rPr>
                <w:rFonts w:hint="eastAsia" w:ascii="仿宋" w:hAnsi="仿宋" w:eastAsia="仿宋" w:cs="仿宋"/>
                <w:color w:val="auto"/>
                <w:sz w:val="21"/>
                <w:szCs w:val="21"/>
                <w:highlight w:val="none"/>
              </w:rPr>
              <w:t>比选地点：云南师范大学附属世纪金源学校（昆明市广福路3678号）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17</w:t>
            </w:r>
            <w:r>
              <w:rPr>
                <w:rFonts w:hint="eastAsia" w:ascii="仿宋" w:hAnsi="仿宋" w:eastAsia="仿宋" w:cs="仿宋"/>
                <w:color w:val="auto"/>
                <w:sz w:val="21"/>
                <w:szCs w:val="21"/>
                <w:highlight w:val="none"/>
              </w:rPr>
              <w:t>.1</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bCs/>
                <w:color w:val="auto"/>
                <w:sz w:val="21"/>
                <w:szCs w:val="21"/>
                <w:highlight w:val="none"/>
              </w:rPr>
              <w:t>履约保证金</w:t>
            </w:r>
            <w:r>
              <w:rPr>
                <w:rFonts w:hint="eastAsia" w:ascii="仿宋" w:hAnsi="仿宋" w:eastAsia="仿宋" w:cs="仿宋"/>
                <w:color w:val="auto"/>
                <w:sz w:val="21"/>
                <w:szCs w:val="21"/>
                <w:highlight w:val="none"/>
              </w:rPr>
              <w:t>金额</w:t>
            </w:r>
          </w:p>
        </w:tc>
        <w:tc>
          <w:tcPr>
            <w:tcW w:w="3648" w:type="pct"/>
            <w:vAlign w:val="center"/>
          </w:tcPr>
          <w:p>
            <w:pPr>
              <w:pStyle w:val="19"/>
              <w:spacing w:line="30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pPr>
              <w:pStyle w:val="19"/>
              <w:spacing w:line="360" w:lineRule="exact"/>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18</w:t>
            </w:r>
            <w:r>
              <w:rPr>
                <w:rFonts w:hint="eastAsia" w:ascii="仿宋" w:hAnsi="仿宋" w:eastAsia="仿宋" w:cs="仿宋"/>
                <w:color w:val="auto"/>
                <w:sz w:val="21"/>
                <w:szCs w:val="21"/>
                <w:highlight w:val="none"/>
              </w:rPr>
              <w:t>.3</w:t>
            </w:r>
          </w:p>
        </w:tc>
        <w:tc>
          <w:tcPr>
            <w:tcW w:w="974" w:type="pct"/>
            <w:vAlign w:val="center"/>
          </w:tcPr>
          <w:p>
            <w:pPr>
              <w:pStyle w:val="19"/>
              <w:spacing w:line="36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履约保证金退还时间</w:t>
            </w:r>
          </w:p>
        </w:tc>
        <w:tc>
          <w:tcPr>
            <w:tcW w:w="3648" w:type="pct"/>
            <w:vAlign w:val="center"/>
          </w:tcPr>
          <w:p>
            <w:pPr>
              <w:pStyle w:val="19"/>
              <w:spacing w:line="300" w:lineRule="exact"/>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auto"/>
              <w:jc w:val="center"/>
              <w:rPr>
                <w:rFonts w:hint="eastAsia" w:ascii="仿宋" w:hAnsi="仿宋" w:eastAsia="仿宋" w:cs="仿宋"/>
                <w:color w:val="auto"/>
                <w:kern w:val="0"/>
                <w:sz w:val="20"/>
                <w:szCs w:val="21"/>
                <w:highlight w:val="none"/>
                <w:lang w:val="en-US" w:eastAsia="zh-CN" w:bidi="ar-SA"/>
              </w:rPr>
            </w:pPr>
            <w:r>
              <w:rPr>
                <w:rFonts w:hint="eastAsia" w:ascii="仿宋" w:hAnsi="仿宋" w:eastAsia="仿宋" w:cs="仿宋"/>
                <w:color w:val="auto"/>
                <w:szCs w:val="21"/>
                <w:highlight w:val="none"/>
                <w:lang w:val="en-US" w:eastAsia="zh-CN"/>
              </w:rPr>
              <w:t>19</w:t>
            </w:r>
            <w:r>
              <w:rPr>
                <w:rFonts w:hint="eastAsia" w:ascii="仿宋" w:hAnsi="仿宋" w:eastAsia="仿宋" w:cs="仿宋"/>
                <w:color w:val="auto"/>
                <w:szCs w:val="21"/>
                <w:highlight w:val="none"/>
              </w:rPr>
              <w:t>.1</w:t>
            </w:r>
          </w:p>
        </w:tc>
        <w:tc>
          <w:tcPr>
            <w:tcW w:w="4622" w:type="pct"/>
            <w:gridSpan w:val="2"/>
            <w:vAlign w:val="center"/>
          </w:tcPr>
          <w:p>
            <w:pPr>
              <w:pStyle w:val="19"/>
              <w:spacing w:line="360" w:lineRule="exact"/>
              <w:rPr>
                <w:rFonts w:hint="eastAsia" w:ascii="仿宋" w:hAnsi="仿宋" w:eastAsia="仿宋" w:cs="仿宋"/>
                <w:color w:val="auto"/>
                <w:szCs w:val="21"/>
                <w:highlight w:val="none"/>
              </w:rPr>
            </w:pPr>
            <w:r>
              <w:rPr>
                <w:rFonts w:hint="eastAsia" w:ascii="仿宋" w:hAnsi="仿宋" w:eastAsia="仿宋" w:cs="仿宋"/>
                <w:color w:val="auto"/>
                <w:szCs w:val="21"/>
                <w:highlight w:val="none"/>
              </w:rPr>
              <w:t>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pPr>
              <w:pStyle w:val="19"/>
              <w:spacing w:line="360" w:lineRule="auto"/>
              <w:jc w:val="center"/>
              <w:rPr>
                <w:rFonts w:hint="eastAsia" w:ascii="仿宋" w:hAnsi="仿宋" w:eastAsia="仿宋" w:cs="仿宋"/>
                <w:color w:val="auto"/>
                <w:szCs w:val="21"/>
                <w:highlight w:val="none"/>
                <w:lang w:eastAsia="zh-CN"/>
              </w:rPr>
            </w:pPr>
            <w:r>
              <w:rPr>
                <w:rFonts w:hint="eastAsia" w:ascii="仿宋" w:hAnsi="仿宋" w:eastAsia="仿宋" w:cs="仿宋"/>
                <w:color w:val="auto"/>
                <w:szCs w:val="21"/>
                <w:highlight w:val="none"/>
                <w:lang w:eastAsia="zh-CN"/>
              </w:rPr>
              <w:t>（</w:t>
            </w:r>
            <w:r>
              <w:rPr>
                <w:rFonts w:hint="eastAsia" w:ascii="仿宋" w:hAnsi="仿宋" w:eastAsia="仿宋" w:cs="仿宋"/>
                <w:color w:val="auto"/>
                <w:szCs w:val="21"/>
                <w:highlight w:val="none"/>
                <w:lang w:val="en-US" w:eastAsia="zh-CN"/>
              </w:rPr>
              <w:t>1</w:t>
            </w:r>
            <w:r>
              <w:rPr>
                <w:rFonts w:hint="eastAsia" w:ascii="仿宋" w:hAnsi="仿宋" w:eastAsia="仿宋" w:cs="仿宋"/>
                <w:color w:val="auto"/>
                <w:szCs w:val="21"/>
                <w:highlight w:val="none"/>
                <w:lang w:eastAsia="zh-CN"/>
              </w:rPr>
              <w:t>）</w:t>
            </w:r>
          </w:p>
        </w:tc>
        <w:tc>
          <w:tcPr>
            <w:tcW w:w="4622" w:type="pct"/>
            <w:gridSpan w:val="2"/>
            <w:vAlign w:val="center"/>
          </w:tcPr>
          <w:p>
            <w:pPr>
              <w:pStyle w:val="19"/>
              <w:spacing w:line="360" w:lineRule="exact"/>
              <w:rPr>
                <w:rFonts w:hint="eastAsia" w:ascii="仿宋" w:hAnsi="仿宋" w:eastAsia="仿宋" w:cs="仿宋"/>
                <w:color w:val="auto"/>
                <w:szCs w:val="21"/>
                <w:highlight w:val="none"/>
              </w:rPr>
            </w:pPr>
            <w:r>
              <w:rPr>
                <w:rFonts w:hint="eastAsia" w:ascii="仿宋" w:hAnsi="仿宋" w:eastAsia="仿宋" w:cs="仿宋"/>
                <w:color w:val="auto"/>
                <w:szCs w:val="21"/>
                <w:highlight w:val="none"/>
              </w:rPr>
              <w:t>★参与本项目开标人员须为</w:t>
            </w:r>
            <w:r>
              <w:rPr>
                <w:rFonts w:hint="eastAsia" w:ascii="仿宋" w:hAnsi="仿宋" w:eastAsia="仿宋" w:cs="仿宋"/>
                <w:color w:val="auto"/>
                <w:szCs w:val="21"/>
                <w:highlight w:val="none"/>
                <w:lang w:val="en-US" w:eastAsia="zh-CN"/>
              </w:rPr>
              <w:t>投标单位</w:t>
            </w:r>
            <w:r>
              <w:rPr>
                <w:rFonts w:hint="eastAsia" w:ascii="仿宋" w:hAnsi="仿宋" w:eastAsia="仿宋" w:cs="仿宋"/>
                <w:color w:val="auto"/>
                <w:szCs w:val="21"/>
                <w:highlight w:val="none"/>
              </w:rPr>
              <w:t>法定代表人或</w:t>
            </w:r>
            <w:r>
              <w:rPr>
                <w:rFonts w:hint="eastAsia" w:ascii="仿宋" w:hAnsi="仿宋" w:eastAsia="仿宋" w:cs="仿宋"/>
                <w:color w:val="auto"/>
                <w:szCs w:val="21"/>
                <w:highlight w:val="none"/>
                <w:lang w:val="en-US" w:eastAsia="zh-CN"/>
              </w:rPr>
              <w:t>响应</w:t>
            </w:r>
            <w:r>
              <w:rPr>
                <w:rFonts w:hint="eastAsia" w:ascii="仿宋" w:hAnsi="仿宋" w:eastAsia="仿宋" w:cs="仿宋"/>
                <w:color w:val="auto"/>
                <w:szCs w:val="21"/>
                <w:highlight w:val="none"/>
              </w:rPr>
              <w:t>文件中的法定代表人授权委托人。</w:t>
            </w:r>
          </w:p>
        </w:tc>
      </w:tr>
      <w:bookmarkEnd w:id="41"/>
      <w:bookmarkEnd w:id="42"/>
      <w:bookmarkEnd w:id="43"/>
      <w:bookmarkEnd w:id="44"/>
      <w:bookmarkEnd w:id="45"/>
    </w:tbl>
    <w:p>
      <w:pPr>
        <w:tabs>
          <w:tab w:val="left" w:pos="1021"/>
        </w:tabs>
        <w:rPr>
          <w:rFonts w:hint="eastAsia" w:ascii="仿宋" w:hAnsi="仿宋" w:eastAsia="仿宋" w:cs="仿宋"/>
          <w:color w:val="auto"/>
          <w:szCs w:val="28"/>
          <w:highlight w:val="none"/>
        </w:rPr>
      </w:pPr>
    </w:p>
    <w:p>
      <w:pPr>
        <w:pStyle w:val="3"/>
        <w:numPr>
          <w:ilvl w:val="0"/>
          <w:numId w:val="0"/>
        </w:numPr>
        <w:spacing w:before="0" w:line="240" w:lineRule="auto"/>
        <w:ind w:left="425"/>
        <w:rPr>
          <w:rFonts w:hint="eastAsia" w:ascii="仿宋" w:hAnsi="仿宋" w:eastAsia="仿宋" w:cs="仿宋"/>
          <w:color w:val="auto"/>
          <w:szCs w:val="28"/>
          <w:highlight w:val="none"/>
        </w:rPr>
      </w:pPr>
      <w:r>
        <w:rPr>
          <w:rFonts w:hint="eastAsia" w:ascii="仿宋" w:hAnsi="仿宋" w:eastAsia="仿宋" w:cs="仿宋"/>
          <w:color w:val="auto"/>
          <w:szCs w:val="28"/>
          <w:highlight w:val="none"/>
        </w:rPr>
        <w:br w:type="page"/>
      </w:r>
      <w:bookmarkStart w:id="46" w:name="_Toc24440"/>
      <w:bookmarkStart w:id="47" w:name="_Toc18800"/>
      <w:bookmarkStart w:id="48" w:name="_Toc31449"/>
      <w:bookmarkStart w:id="49" w:name="_Toc15323"/>
      <w:bookmarkStart w:id="50" w:name="_Toc14609"/>
      <w:bookmarkStart w:id="51" w:name="_Toc14987"/>
      <w:bookmarkStart w:id="52" w:name="_Toc19318"/>
      <w:r>
        <w:rPr>
          <w:rFonts w:hint="eastAsia" w:ascii="仿宋" w:hAnsi="仿宋" w:eastAsia="仿宋" w:cs="仿宋"/>
          <w:color w:val="auto"/>
          <w:szCs w:val="28"/>
          <w:highlight w:val="none"/>
        </w:rPr>
        <w:t>一、总  则</w:t>
      </w:r>
      <w:bookmarkEnd w:id="46"/>
      <w:bookmarkEnd w:id="47"/>
      <w:bookmarkEnd w:id="48"/>
      <w:bookmarkEnd w:id="49"/>
      <w:bookmarkEnd w:id="50"/>
      <w:bookmarkEnd w:id="51"/>
      <w:bookmarkEnd w:id="52"/>
    </w:p>
    <w:p>
      <w:pPr>
        <w:pStyle w:val="4"/>
        <w:numPr>
          <w:ilvl w:val="0"/>
          <w:numId w:val="5"/>
        </w:numPr>
        <w:tabs>
          <w:tab w:val="clear" w:pos="1588"/>
        </w:tabs>
        <w:spacing w:before="0" w:after="0" w:line="460" w:lineRule="exact"/>
        <w:ind w:left="587"/>
        <w:jc w:val="both"/>
        <w:rPr>
          <w:rFonts w:hint="eastAsia" w:ascii="仿宋" w:hAnsi="仿宋" w:eastAsia="仿宋" w:cs="仿宋"/>
          <w:color w:val="auto"/>
          <w:szCs w:val="24"/>
          <w:highlight w:val="none"/>
        </w:rPr>
      </w:pPr>
      <w:bookmarkStart w:id="53" w:name="_Toc18421"/>
      <w:bookmarkStart w:id="54" w:name="_Toc3235"/>
      <w:bookmarkStart w:id="55" w:name="_Toc32506"/>
      <w:bookmarkStart w:id="56" w:name="_Toc6115"/>
      <w:bookmarkStart w:id="57" w:name="_Toc20891"/>
      <w:bookmarkStart w:id="58" w:name="_Toc22610"/>
      <w:bookmarkStart w:id="59" w:name="_Toc11234"/>
      <w:bookmarkStart w:id="60" w:name="_Toc27201"/>
      <w:bookmarkStart w:id="61" w:name="_Toc5928"/>
      <w:r>
        <w:rPr>
          <w:rFonts w:hint="eastAsia" w:ascii="仿宋" w:hAnsi="仿宋" w:eastAsia="仿宋" w:cs="仿宋"/>
          <w:color w:val="auto"/>
          <w:szCs w:val="24"/>
          <w:highlight w:val="none"/>
        </w:rPr>
        <w:t>项目概况</w:t>
      </w:r>
      <w:bookmarkEnd w:id="53"/>
      <w:bookmarkEnd w:id="54"/>
      <w:bookmarkEnd w:id="55"/>
      <w:bookmarkEnd w:id="56"/>
      <w:bookmarkEnd w:id="57"/>
      <w:bookmarkEnd w:id="58"/>
      <w:bookmarkEnd w:id="59"/>
      <w:bookmarkEnd w:id="60"/>
      <w:bookmarkEnd w:id="61"/>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1.1 根据有关法律、法规和规章的规定，本项目已具备招标条件，现对本项目采用比选方式</w:t>
      </w:r>
      <w:r>
        <w:rPr>
          <w:rFonts w:hint="eastAsia" w:ascii="仿宋" w:hAnsi="仿宋" w:eastAsia="仿宋" w:cs="仿宋"/>
          <w:color w:val="auto"/>
          <w:szCs w:val="21"/>
          <w:highlight w:val="none"/>
          <w:lang w:val="en-US" w:eastAsia="zh-CN"/>
        </w:rPr>
        <w:t>进行择优选择供货商</w:t>
      </w:r>
      <w:r>
        <w:rPr>
          <w:rFonts w:hint="eastAsia" w:ascii="仿宋" w:hAnsi="仿宋" w:eastAsia="仿宋" w:cs="仿宋"/>
          <w:color w:val="auto"/>
          <w:szCs w:val="21"/>
          <w:highlight w:val="none"/>
        </w:rPr>
        <w:t>。</w:t>
      </w:r>
    </w:p>
    <w:p>
      <w:pPr>
        <w:spacing w:line="460" w:lineRule="exact"/>
        <w:ind w:firstLine="420" w:firstLineChars="200"/>
        <w:jc w:val="left"/>
        <w:rPr>
          <w:rFonts w:hint="eastAsia" w:ascii="仿宋" w:hAnsi="仿宋" w:eastAsia="仿宋" w:cs="仿宋"/>
          <w:color w:val="auto"/>
          <w:sz w:val="24"/>
          <w:highlight w:val="none"/>
        </w:rPr>
      </w:pPr>
      <w:r>
        <w:rPr>
          <w:rFonts w:hint="eastAsia" w:ascii="仿宋" w:hAnsi="仿宋" w:eastAsia="仿宋" w:cs="仿宋"/>
          <w:color w:val="auto"/>
          <w:szCs w:val="21"/>
          <w:highlight w:val="none"/>
        </w:rPr>
        <w:t>1.2 本项目招标人、项目名称及项目编号：见“</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w:t>
      </w:r>
    </w:p>
    <w:p>
      <w:pPr>
        <w:pStyle w:val="4"/>
        <w:numPr>
          <w:ilvl w:val="0"/>
          <w:numId w:val="5"/>
        </w:numPr>
        <w:tabs>
          <w:tab w:val="clear" w:pos="1588"/>
        </w:tabs>
        <w:spacing w:before="0" w:after="0" w:line="460" w:lineRule="exact"/>
        <w:ind w:left="587"/>
        <w:jc w:val="both"/>
        <w:rPr>
          <w:rFonts w:hint="eastAsia" w:ascii="仿宋" w:hAnsi="仿宋" w:eastAsia="仿宋" w:cs="仿宋"/>
          <w:color w:val="auto"/>
          <w:szCs w:val="24"/>
          <w:highlight w:val="none"/>
        </w:rPr>
      </w:pPr>
      <w:bookmarkStart w:id="62" w:name="_Toc5558"/>
      <w:bookmarkStart w:id="63" w:name="_Toc8805"/>
      <w:bookmarkStart w:id="64" w:name="_Toc21529"/>
      <w:bookmarkStart w:id="65" w:name="_Toc10123"/>
      <w:bookmarkStart w:id="66" w:name="_Toc25999"/>
      <w:bookmarkStart w:id="67" w:name="_Toc7766"/>
      <w:bookmarkStart w:id="68" w:name="_Toc25493"/>
      <w:bookmarkStart w:id="69" w:name="_Toc5033"/>
      <w:bookmarkStart w:id="70" w:name="_Toc1547"/>
      <w:r>
        <w:rPr>
          <w:rFonts w:hint="eastAsia" w:ascii="仿宋" w:hAnsi="仿宋" w:eastAsia="仿宋" w:cs="仿宋"/>
          <w:color w:val="auto"/>
          <w:szCs w:val="24"/>
          <w:highlight w:val="none"/>
        </w:rPr>
        <w:t>资金来源</w:t>
      </w:r>
      <w:bookmarkEnd w:id="62"/>
      <w:bookmarkEnd w:id="63"/>
      <w:bookmarkEnd w:id="64"/>
      <w:bookmarkEnd w:id="65"/>
      <w:bookmarkEnd w:id="66"/>
      <w:bookmarkEnd w:id="67"/>
      <w:bookmarkEnd w:id="68"/>
      <w:bookmarkEnd w:id="69"/>
      <w:bookmarkEnd w:id="70"/>
      <w:r>
        <w:rPr>
          <w:rFonts w:hint="eastAsia" w:ascii="仿宋" w:hAnsi="仿宋" w:eastAsia="仿宋" w:cs="仿宋"/>
          <w:color w:val="auto"/>
          <w:szCs w:val="24"/>
          <w:highlight w:val="none"/>
        </w:rPr>
        <w:tab/>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2.1 “</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”中所述的招标人已获得一笔资金，用于采购“</w:t>
      </w:r>
      <w:r>
        <w:rPr>
          <w:rFonts w:hint="eastAsia" w:ascii="仿宋" w:hAnsi="仿宋" w:eastAsia="仿宋" w:cs="仿宋"/>
          <w:b/>
          <w:bCs/>
          <w:color w:val="auto"/>
          <w:szCs w:val="21"/>
          <w:highlight w:val="none"/>
        </w:rPr>
        <w:t>项目需求</w:t>
      </w:r>
      <w:r>
        <w:rPr>
          <w:rFonts w:hint="eastAsia" w:ascii="仿宋" w:hAnsi="仿宋" w:eastAsia="仿宋" w:cs="仿宋"/>
          <w:color w:val="auto"/>
          <w:szCs w:val="21"/>
          <w:highlight w:val="none"/>
        </w:rPr>
        <w:t>”中所列产品，项目预算金额见“</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w:t>
      </w:r>
    </w:p>
    <w:p>
      <w:pPr>
        <w:pStyle w:val="4"/>
        <w:numPr>
          <w:ilvl w:val="0"/>
          <w:numId w:val="5"/>
        </w:numPr>
        <w:tabs>
          <w:tab w:val="clear" w:pos="1588"/>
        </w:tabs>
        <w:spacing w:before="0" w:after="0" w:line="460" w:lineRule="exact"/>
        <w:ind w:left="587"/>
        <w:jc w:val="both"/>
        <w:rPr>
          <w:rFonts w:hint="eastAsia" w:ascii="仿宋" w:hAnsi="仿宋" w:eastAsia="仿宋" w:cs="仿宋"/>
          <w:color w:val="auto"/>
          <w:szCs w:val="24"/>
          <w:highlight w:val="none"/>
        </w:rPr>
      </w:pPr>
      <w:bookmarkStart w:id="71" w:name="_Toc12401"/>
      <w:bookmarkStart w:id="72" w:name="_Toc2465"/>
      <w:bookmarkStart w:id="73" w:name="_Toc18480"/>
      <w:bookmarkStart w:id="74" w:name="_Toc32657"/>
      <w:bookmarkStart w:id="75" w:name="_Toc30047"/>
      <w:bookmarkStart w:id="76" w:name="_Toc12233"/>
      <w:bookmarkStart w:id="77" w:name="_Toc15604"/>
      <w:bookmarkStart w:id="78" w:name="_Toc28231"/>
      <w:bookmarkStart w:id="79" w:name="_Toc25155"/>
      <w:r>
        <w:rPr>
          <w:rFonts w:hint="eastAsia" w:ascii="仿宋" w:hAnsi="仿宋" w:eastAsia="仿宋" w:cs="仿宋"/>
          <w:color w:val="auto"/>
          <w:szCs w:val="24"/>
          <w:highlight w:val="none"/>
        </w:rPr>
        <w:t>招标范围及</w:t>
      </w:r>
      <w:bookmarkEnd w:id="71"/>
      <w:bookmarkEnd w:id="72"/>
      <w:bookmarkEnd w:id="73"/>
      <w:bookmarkEnd w:id="74"/>
      <w:r>
        <w:rPr>
          <w:rFonts w:hint="eastAsia" w:ascii="仿宋" w:hAnsi="仿宋" w:eastAsia="仿宋" w:cs="仿宋"/>
          <w:color w:val="auto"/>
          <w:szCs w:val="24"/>
          <w:highlight w:val="none"/>
        </w:rPr>
        <w:t>合同履行期限</w:t>
      </w:r>
      <w:bookmarkEnd w:id="75"/>
      <w:bookmarkEnd w:id="76"/>
      <w:bookmarkEnd w:id="77"/>
      <w:bookmarkEnd w:id="78"/>
      <w:bookmarkEnd w:id="79"/>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3.1 本项目</w:t>
      </w:r>
      <w:r>
        <w:rPr>
          <w:rFonts w:hint="eastAsia" w:ascii="仿宋" w:hAnsi="仿宋" w:eastAsia="仿宋" w:cs="仿宋"/>
          <w:color w:val="auto"/>
          <w:szCs w:val="21"/>
          <w:highlight w:val="none"/>
          <w:lang w:eastAsia="zh-CN"/>
        </w:rPr>
        <w:t>招标内容</w:t>
      </w:r>
      <w:r>
        <w:rPr>
          <w:rFonts w:hint="eastAsia" w:ascii="仿宋" w:hAnsi="仿宋" w:eastAsia="仿宋" w:cs="仿宋"/>
          <w:color w:val="auto"/>
          <w:szCs w:val="21"/>
          <w:highlight w:val="none"/>
        </w:rPr>
        <w:t>：见“</w:t>
      </w:r>
      <w:r>
        <w:rPr>
          <w:rFonts w:hint="eastAsia" w:ascii="仿宋" w:hAnsi="仿宋" w:eastAsia="仿宋" w:cs="仿宋"/>
          <w:b/>
          <w:bCs/>
          <w:color w:val="auto"/>
          <w:szCs w:val="21"/>
          <w:highlight w:val="none"/>
        </w:rPr>
        <w:t>投标人须知前附表</w:t>
      </w:r>
      <w:r>
        <w:rPr>
          <w:rFonts w:hint="eastAsia" w:ascii="仿宋" w:hAnsi="仿宋" w:eastAsia="仿宋" w:cs="仿宋"/>
          <w:color w:val="auto"/>
          <w:szCs w:val="21"/>
          <w:highlight w:val="none"/>
        </w:rPr>
        <w:t>”。</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3.2 本项目</w:t>
      </w:r>
      <w:r>
        <w:rPr>
          <w:rFonts w:hint="eastAsia" w:ascii="仿宋" w:hAnsi="仿宋" w:eastAsia="仿宋" w:cs="仿宋"/>
          <w:color w:val="auto"/>
          <w:szCs w:val="21"/>
          <w:highlight w:val="none"/>
          <w:lang w:eastAsia="zh-CN"/>
        </w:rPr>
        <w:t>服务期</w:t>
      </w:r>
      <w:r>
        <w:rPr>
          <w:rFonts w:hint="eastAsia" w:ascii="仿宋" w:hAnsi="仿宋" w:eastAsia="仿宋" w:cs="仿宋"/>
          <w:color w:val="auto"/>
          <w:szCs w:val="21"/>
          <w:highlight w:val="none"/>
        </w:rPr>
        <w:t>：见</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3.3 本项目交货地点：见“投标人须知前附表”。</w:t>
      </w:r>
    </w:p>
    <w:p>
      <w:pPr>
        <w:pStyle w:val="4"/>
        <w:numPr>
          <w:ilvl w:val="0"/>
          <w:numId w:val="5"/>
        </w:numPr>
        <w:tabs>
          <w:tab w:val="clear" w:pos="1588"/>
        </w:tabs>
        <w:spacing w:before="0" w:after="0" w:line="460" w:lineRule="exact"/>
        <w:jc w:val="both"/>
        <w:rPr>
          <w:rFonts w:hint="eastAsia" w:ascii="仿宋" w:hAnsi="仿宋" w:eastAsia="仿宋" w:cs="仿宋"/>
          <w:color w:val="auto"/>
          <w:szCs w:val="24"/>
          <w:highlight w:val="none"/>
        </w:rPr>
      </w:pPr>
      <w:bookmarkStart w:id="80" w:name="_Toc27378"/>
      <w:bookmarkStart w:id="81" w:name="_Toc21674"/>
      <w:bookmarkStart w:id="82" w:name="_Toc10919"/>
      <w:bookmarkStart w:id="83" w:name="_Toc18248"/>
      <w:bookmarkStart w:id="84" w:name="_Toc16043"/>
      <w:bookmarkStart w:id="85" w:name="_Toc23981"/>
      <w:bookmarkStart w:id="86" w:name="_Toc17498"/>
      <w:bookmarkStart w:id="87" w:name="_Toc24632"/>
      <w:bookmarkStart w:id="88" w:name="_Toc28788"/>
      <w:r>
        <w:rPr>
          <w:rFonts w:hint="eastAsia" w:ascii="仿宋" w:hAnsi="仿宋" w:eastAsia="仿宋" w:cs="仿宋"/>
          <w:color w:val="auto"/>
          <w:szCs w:val="24"/>
          <w:highlight w:val="none"/>
        </w:rPr>
        <w:t>★合格的投标人（以下简称投标人）</w:t>
      </w:r>
      <w:bookmarkEnd w:id="80"/>
      <w:bookmarkEnd w:id="81"/>
      <w:bookmarkEnd w:id="82"/>
      <w:bookmarkEnd w:id="83"/>
      <w:bookmarkEnd w:id="84"/>
      <w:bookmarkEnd w:id="85"/>
      <w:bookmarkEnd w:id="86"/>
      <w:bookmarkEnd w:id="87"/>
      <w:bookmarkEnd w:id="88"/>
    </w:p>
    <w:p>
      <w:pPr>
        <w:autoSpaceDN w:val="0"/>
        <w:spacing w:line="460" w:lineRule="exact"/>
        <w:ind w:firstLine="420" w:firstLineChars="200"/>
        <w:rPr>
          <w:rFonts w:hint="eastAsia" w:ascii="仿宋" w:hAnsi="仿宋" w:eastAsia="仿宋" w:cs="仿宋"/>
          <w:bCs/>
          <w:color w:val="auto"/>
          <w:szCs w:val="21"/>
          <w:highlight w:val="none"/>
        </w:rPr>
      </w:pPr>
      <w:r>
        <w:rPr>
          <w:rFonts w:hint="eastAsia" w:ascii="仿宋" w:hAnsi="仿宋" w:eastAsia="仿宋" w:cs="仿宋"/>
          <w:bCs/>
          <w:color w:val="auto"/>
          <w:szCs w:val="21"/>
          <w:highlight w:val="none"/>
        </w:rPr>
        <w:t>4.1 投标人资格要求：</w:t>
      </w:r>
      <w:r>
        <w:rPr>
          <w:rFonts w:hint="eastAsia" w:ascii="仿宋" w:hAnsi="仿宋" w:eastAsia="仿宋" w:cs="仿宋"/>
          <w:color w:val="auto"/>
          <w:szCs w:val="21"/>
          <w:highlight w:val="none"/>
        </w:rPr>
        <w:t>见</w:t>
      </w:r>
      <w:r>
        <w:rPr>
          <w:rFonts w:hint="eastAsia" w:ascii="仿宋" w:hAnsi="仿宋" w:eastAsia="仿宋" w:cs="仿宋"/>
          <w:b/>
          <w:color w:val="auto"/>
          <w:szCs w:val="21"/>
          <w:highlight w:val="none"/>
        </w:rPr>
        <w:t>“投标人须知前附表”</w:t>
      </w:r>
      <w:r>
        <w:rPr>
          <w:rFonts w:hint="eastAsia" w:ascii="仿宋" w:hAnsi="仿宋" w:eastAsia="仿宋" w:cs="仿宋"/>
          <w:bCs/>
          <w:color w:val="auto"/>
          <w:szCs w:val="21"/>
          <w:highlight w:val="none"/>
        </w:rPr>
        <w:t>。</w:t>
      </w:r>
    </w:p>
    <w:p>
      <w:pPr>
        <w:pStyle w:val="15"/>
        <w:spacing w:line="460" w:lineRule="exact"/>
        <w:ind w:firstLine="422" w:firstLineChars="201"/>
        <w:jc w:val="both"/>
        <w:rPr>
          <w:rFonts w:hint="eastAsia" w:ascii="仿宋" w:hAnsi="仿宋" w:eastAsia="仿宋" w:cs="仿宋"/>
          <w:bCs/>
          <w:color w:val="auto"/>
          <w:sz w:val="21"/>
          <w:szCs w:val="21"/>
          <w:highlight w:val="none"/>
        </w:rPr>
      </w:pPr>
      <w:r>
        <w:rPr>
          <w:rFonts w:hint="eastAsia" w:ascii="仿宋" w:hAnsi="仿宋" w:eastAsia="仿宋" w:cs="仿宋"/>
          <w:bCs/>
          <w:color w:val="auto"/>
          <w:sz w:val="21"/>
          <w:szCs w:val="21"/>
          <w:highlight w:val="none"/>
        </w:rPr>
        <w:t>4.</w:t>
      </w:r>
      <w:r>
        <w:rPr>
          <w:rFonts w:hint="eastAsia" w:ascii="仿宋" w:hAnsi="仿宋" w:eastAsia="仿宋" w:cs="仿宋"/>
          <w:bCs/>
          <w:color w:val="auto"/>
          <w:sz w:val="21"/>
          <w:szCs w:val="21"/>
          <w:highlight w:val="none"/>
          <w:lang w:val="en-US" w:eastAsia="zh-CN"/>
        </w:rPr>
        <w:t>2</w:t>
      </w:r>
      <w:r>
        <w:rPr>
          <w:rFonts w:hint="eastAsia" w:ascii="仿宋" w:hAnsi="仿宋" w:eastAsia="仿宋" w:cs="仿宋"/>
          <w:bCs/>
          <w:color w:val="auto"/>
          <w:sz w:val="21"/>
          <w:szCs w:val="21"/>
          <w:highlight w:val="none"/>
        </w:rPr>
        <w:t xml:space="preserve"> 本项目不接受联合体比选。</w:t>
      </w:r>
    </w:p>
    <w:p>
      <w:pPr>
        <w:spacing w:line="460" w:lineRule="exact"/>
        <w:ind w:firstLine="420" w:firstLineChars="200"/>
        <w:jc w:val="left"/>
        <w:rPr>
          <w:rFonts w:hint="eastAsia" w:ascii="仿宋" w:hAnsi="仿宋" w:eastAsia="仿宋" w:cs="仿宋"/>
          <w:color w:val="auto"/>
          <w:sz w:val="24"/>
          <w:highlight w:val="none"/>
        </w:rPr>
      </w:pPr>
      <w:r>
        <w:rPr>
          <w:rFonts w:hint="eastAsia" w:ascii="仿宋" w:hAnsi="仿宋" w:eastAsia="仿宋" w:cs="仿宋"/>
          <w:color w:val="auto"/>
          <w:szCs w:val="21"/>
          <w:highlight w:val="none"/>
        </w:rPr>
        <w:t>4.</w:t>
      </w:r>
      <w:r>
        <w:rPr>
          <w:rFonts w:hint="eastAsia" w:ascii="仿宋" w:hAnsi="仿宋" w:eastAsia="仿宋" w:cs="仿宋"/>
          <w:color w:val="auto"/>
          <w:szCs w:val="21"/>
          <w:highlight w:val="none"/>
          <w:lang w:val="en-US" w:eastAsia="zh-CN"/>
        </w:rPr>
        <w:t>3</w:t>
      </w:r>
      <w:r>
        <w:rPr>
          <w:rFonts w:hint="eastAsia" w:ascii="仿宋" w:hAnsi="仿宋" w:eastAsia="仿宋" w:cs="仿宋"/>
          <w:color w:val="auto"/>
          <w:szCs w:val="21"/>
          <w:highlight w:val="none"/>
        </w:rPr>
        <w:t xml:space="preserve"> 符合上述条件的投标人应承担比选及履约中应承担的全部责任与义务。</w:t>
      </w:r>
    </w:p>
    <w:p>
      <w:pPr>
        <w:pStyle w:val="4"/>
        <w:numPr>
          <w:ilvl w:val="0"/>
          <w:numId w:val="5"/>
        </w:numPr>
        <w:tabs>
          <w:tab w:val="clear" w:pos="1588"/>
        </w:tabs>
        <w:spacing w:before="0" w:after="0" w:line="460" w:lineRule="exact"/>
        <w:jc w:val="both"/>
        <w:rPr>
          <w:rFonts w:hint="eastAsia" w:ascii="仿宋" w:hAnsi="仿宋" w:eastAsia="仿宋" w:cs="仿宋"/>
          <w:color w:val="auto"/>
          <w:szCs w:val="24"/>
          <w:highlight w:val="none"/>
        </w:rPr>
      </w:pPr>
      <w:bookmarkStart w:id="89" w:name="_Toc23791"/>
      <w:bookmarkStart w:id="90" w:name="_Toc16028"/>
      <w:bookmarkStart w:id="91" w:name="_Toc12440"/>
      <w:bookmarkStart w:id="92" w:name="_Toc17686"/>
      <w:bookmarkStart w:id="93" w:name="_Toc3895"/>
      <w:bookmarkStart w:id="94" w:name="_Toc5791"/>
      <w:bookmarkStart w:id="95" w:name="_Toc26082"/>
      <w:bookmarkStart w:id="96" w:name="_Toc6933"/>
      <w:bookmarkStart w:id="97" w:name="_Toc18587"/>
      <w:r>
        <w:rPr>
          <w:rFonts w:hint="eastAsia" w:ascii="仿宋" w:hAnsi="仿宋" w:eastAsia="仿宋" w:cs="仿宋"/>
          <w:color w:val="auto"/>
          <w:szCs w:val="24"/>
          <w:highlight w:val="none"/>
        </w:rPr>
        <w:t>比选费用</w:t>
      </w:r>
      <w:bookmarkEnd w:id="89"/>
      <w:bookmarkEnd w:id="90"/>
      <w:bookmarkEnd w:id="91"/>
      <w:bookmarkEnd w:id="92"/>
      <w:bookmarkEnd w:id="93"/>
      <w:bookmarkEnd w:id="94"/>
      <w:bookmarkEnd w:id="95"/>
      <w:bookmarkEnd w:id="96"/>
      <w:bookmarkEnd w:id="97"/>
    </w:p>
    <w:p>
      <w:pPr>
        <w:spacing w:line="460" w:lineRule="exact"/>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1"/>
          <w:highlight w:val="none"/>
        </w:rPr>
        <w:t>无论是否成交，投标人自行承担所有与参加比选有关的全部费用。</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98" w:name="_Toc4676"/>
      <w:bookmarkStart w:id="99" w:name="_Toc31781"/>
      <w:bookmarkStart w:id="100" w:name="_Toc18361"/>
      <w:bookmarkStart w:id="101" w:name="_Toc25908"/>
      <w:bookmarkStart w:id="102" w:name="_Toc32539"/>
      <w:bookmarkStart w:id="103" w:name="_Toc3597"/>
      <w:bookmarkStart w:id="104" w:name="_Toc1945"/>
      <w:r>
        <w:rPr>
          <w:rFonts w:hint="eastAsia" w:ascii="仿宋" w:hAnsi="仿宋" w:eastAsia="仿宋" w:cs="仿宋"/>
          <w:color w:val="auto"/>
          <w:szCs w:val="28"/>
          <w:highlight w:val="none"/>
        </w:rPr>
        <w:t>二、比选文件</w:t>
      </w:r>
      <w:bookmarkEnd w:id="98"/>
      <w:bookmarkEnd w:id="99"/>
      <w:bookmarkEnd w:id="100"/>
      <w:bookmarkEnd w:id="101"/>
      <w:bookmarkEnd w:id="102"/>
      <w:bookmarkEnd w:id="103"/>
      <w:bookmarkEnd w:id="104"/>
    </w:p>
    <w:p>
      <w:pPr>
        <w:pStyle w:val="4"/>
        <w:numPr>
          <w:ilvl w:val="0"/>
          <w:numId w:val="6"/>
        </w:numPr>
        <w:tabs>
          <w:tab w:val="clear" w:pos="1588"/>
        </w:tabs>
        <w:spacing w:before="0" w:after="0" w:line="460" w:lineRule="exact"/>
        <w:jc w:val="both"/>
        <w:rPr>
          <w:rFonts w:hint="eastAsia" w:ascii="仿宋" w:hAnsi="仿宋" w:eastAsia="仿宋" w:cs="仿宋"/>
          <w:color w:val="auto"/>
          <w:szCs w:val="24"/>
          <w:highlight w:val="none"/>
        </w:rPr>
      </w:pPr>
      <w:bookmarkStart w:id="105" w:name="_Toc25299"/>
      <w:bookmarkStart w:id="106" w:name="_Toc28556"/>
      <w:bookmarkStart w:id="107" w:name="_Toc3775"/>
      <w:bookmarkStart w:id="108" w:name="_Toc28090"/>
      <w:bookmarkStart w:id="109" w:name="_Toc17714"/>
      <w:bookmarkStart w:id="110" w:name="_Toc18193"/>
      <w:bookmarkStart w:id="111" w:name="_Toc6320"/>
      <w:bookmarkStart w:id="112" w:name="_Toc24836"/>
      <w:bookmarkStart w:id="113" w:name="_Toc2544"/>
      <w:r>
        <w:rPr>
          <w:rFonts w:hint="eastAsia" w:ascii="仿宋" w:hAnsi="仿宋" w:eastAsia="仿宋" w:cs="仿宋"/>
          <w:color w:val="auto"/>
          <w:szCs w:val="24"/>
          <w:highlight w:val="none"/>
        </w:rPr>
        <w:t>比选文件的组成</w:t>
      </w:r>
      <w:bookmarkEnd w:id="105"/>
      <w:bookmarkEnd w:id="106"/>
      <w:bookmarkEnd w:id="107"/>
      <w:bookmarkEnd w:id="108"/>
      <w:bookmarkEnd w:id="109"/>
      <w:bookmarkEnd w:id="110"/>
      <w:bookmarkEnd w:id="111"/>
      <w:bookmarkEnd w:id="112"/>
      <w:bookmarkEnd w:id="113"/>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要求提供的服务、采购过程及合同条款在比选文件中均有说明，比选文件共六章，各章的内容如下：</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第一章  比选公告</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第二章  投标人须知</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第三章  响应文件格式</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第四章  项目需求</w:t>
      </w:r>
    </w:p>
    <w:p>
      <w:pPr>
        <w:spacing w:line="460" w:lineRule="exact"/>
        <w:ind w:firstLine="630" w:firstLineChars="3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第五章  评审办法</w:t>
      </w:r>
    </w:p>
    <w:p>
      <w:pPr>
        <w:pStyle w:val="4"/>
        <w:numPr>
          <w:ilvl w:val="0"/>
          <w:numId w:val="6"/>
        </w:numPr>
        <w:tabs>
          <w:tab w:val="clear" w:pos="1588"/>
        </w:tabs>
        <w:spacing w:before="0" w:after="0" w:line="460" w:lineRule="exact"/>
        <w:ind w:left="587"/>
        <w:jc w:val="both"/>
        <w:rPr>
          <w:rFonts w:hint="eastAsia" w:ascii="仿宋" w:hAnsi="仿宋" w:eastAsia="仿宋" w:cs="仿宋"/>
          <w:color w:val="auto"/>
          <w:szCs w:val="24"/>
          <w:highlight w:val="none"/>
        </w:rPr>
      </w:pPr>
      <w:bookmarkStart w:id="114" w:name="_Toc13301"/>
      <w:bookmarkStart w:id="115" w:name="_Toc8436"/>
      <w:bookmarkStart w:id="116" w:name="_Toc2347"/>
      <w:bookmarkStart w:id="117" w:name="_Toc27917"/>
      <w:bookmarkStart w:id="118" w:name="_Toc24841"/>
      <w:bookmarkStart w:id="119" w:name="_Toc6844"/>
      <w:bookmarkStart w:id="120" w:name="_Toc31968"/>
      <w:bookmarkStart w:id="121" w:name="_Toc25923"/>
      <w:bookmarkStart w:id="122" w:name="_Toc6725"/>
      <w:r>
        <w:rPr>
          <w:rFonts w:hint="eastAsia" w:ascii="仿宋" w:hAnsi="仿宋" w:eastAsia="仿宋" w:cs="仿宋"/>
          <w:color w:val="auto"/>
          <w:szCs w:val="24"/>
          <w:highlight w:val="none"/>
        </w:rPr>
        <w:t>比选文件的澄清、修改</w:t>
      </w:r>
      <w:bookmarkEnd w:id="114"/>
      <w:bookmarkEnd w:id="115"/>
      <w:bookmarkEnd w:id="116"/>
      <w:bookmarkEnd w:id="117"/>
      <w:bookmarkEnd w:id="118"/>
      <w:bookmarkEnd w:id="119"/>
      <w:bookmarkEnd w:id="120"/>
      <w:bookmarkEnd w:id="121"/>
      <w:bookmarkEnd w:id="122"/>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投标人应认真阅读比选文件，如有疑问的，投标人可以在“投标人须知前附表”规定截止时间前以澄清函形式（加盖单位公章）要求招标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澄清，截止时间后送达的澄清要求概不接受。</w:t>
      </w:r>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将以书面形式答复所有获取比选文件的投标人（答复中不包含问题的来源）要求澄清的问题，其他澄清方式无效。</w:t>
      </w:r>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pPr>
        <w:numPr>
          <w:ilvl w:val="1"/>
          <w:numId w:val="7"/>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招标人可以视采购具体情况，推迟递交响应文件截止时间，并将变更时间书面通知所有获取比选文件的投标人。</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123" w:name="_Toc13663"/>
      <w:bookmarkStart w:id="124" w:name="_Toc12051"/>
      <w:bookmarkStart w:id="125" w:name="_Toc28101"/>
      <w:bookmarkStart w:id="126" w:name="_Toc32557"/>
      <w:bookmarkStart w:id="127" w:name="_Toc26660"/>
      <w:bookmarkStart w:id="128" w:name="_Toc10677"/>
      <w:bookmarkStart w:id="129" w:name="_Toc15754"/>
      <w:r>
        <w:rPr>
          <w:rFonts w:hint="eastAsia" w:ascii="仿宋" w:hAnsi="仿宋" w:eastAsia="仿宋" w:cs="仿宋"/>
          <w:color w:val="auto"/>
          <w:szCs w:val="28"/>
          <w:highlight w:val="none"/>
        </w:rPr>
        <w:t>三、响应文件的编制</w:t>
      </w:r>
      <w:bookmarkEnd w:id="123"/>
      <w:bookmarkEnd w:id="124"/>
      <w:bookmarkEnd w:id="125"/>
      <w:bookmarkEnd w:id="126"/>
      <w:bookmarkEnd w:id="127"/>
      <w:bookmarkEnd w:id="128"/>
      <w:bookmarkEnd w:id="129"/>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30" w:name="_Toc11568"/>
      <w:bookmarkStart w:id="131" w:name="_Toc6030"/>
      <w:bookmarkStart w:id="132" w:name="_Toc24142"/>
      <w:bookmarkStart w:id="133" w:name="_Toc8741"/>
      <w:bookmarkStart w:id="134" w:name="_Toc15806"/>
      <w:bookmarkStart w:id="135" w:name="_Toc6711"/>
      <w:bookmarkStart w:id="136" w:name="_Toc13820"/>
      <w:bookmarkStart w:id="137" w:name="_Toc14201"/>
      <w:bookmarkStart w:id="138" w:name="_Toc16810"/>
      <w:r>
        <w:rPr>
          <w:rFonts w:hint="eastAsia" w:ascii="仿宋" w:hAnsi="仿宋" w:eastAsia="仿宋" w:cs="仿宋"/>
          <w:color w:val="auto"/>
          <w:szCs w:val="24"/>
          <w:highlight w:val="none"/>
        </w:rPr>
        <w:t>响应文件编写注意事项</w:t>
      </w:r>
      <w:bookmarkEnd w:id="130"/>
      <w:bookmarkEnd w:id="131"/>
      <w:bookmarkEnd w:id="132"/>
      <w:bookmarkEnd w:id="133"/>
      <w:bookmarkEnd w:id="134"/>
      <w:bookmarkEnd w:id="135"/>
      <w:bookmarkEnd w:id="136"/>
      <w:bookmarkEnd w:id="137"/>
      <w:bookmarkEnd w:id="138"/>
    </w:p>
    <w:p>
      <w:pPr>
        <w:numPr>
          <w:ilvl w:val="1"/>
          <w:numId w:val="9"/>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投标人应仔细阅读比选文件，在完全了解采购的内容、技术性能要求（见第五章“项目需求”）和商务条件后，编写响应文件。</w:t>
      </w:r>
    </w:p>
    <w:p>
      <w:pPr>
        <w:numPr>
          <w:ilvl w:val="1"/>
          <w:numId w:val="9"/>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对比选文件提出的实质性要求作出响应是指投标人必须对比选文件中规定的实质性要求作出满足或者优于原要求的承诺。</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39" w:name="_Toc18291"/>
      <w:bookmarkStart w:id="140" w:name="_Toc23984"/>
      <w:bookmarkStart w:id="141" w:name="_Toc24310"/>
      <w:bookmarkStart w:id="142" w:name="_Toc18393"/>
      <w:bookmarkStart w:id="143" w:name="_Toc9212"/>
      <w:bookmarkStart w:id="144" w:name="_Toc23974"/>
      <w:bookmarkStart w:id="145" w:name="_Toc2887"/>
      <w:bookmarkStart w:id="146" w:name="_Toc16328"/>
      <w:bookmarkStart w:id="147" w:name="_Toc28562"/>
      <w:r>
        <w:rPr>
          <w:rFonts w:hint="eastAsia" w:ascii="仿宋" w:hAnsi="仿宋" w:eastAsia="仿宋" w:cs="仿宋"/>
          <w:color w:val="auto"/>
          <w:szCs w:val="24"/>
          <w:highlight w:val="none"/>
        </w:rPr>
        <w:t>响应文件构成</w:t>
      </w:r>
      <w:bookmarkEnd w:id="139"/>
      <w:bookmarkEnd w:id="140"/>
      <w:bookmarkEnd w:id="141"/>
      <w:bookmarkEnd w:id="142"/>
      <w:bookmarkEnd w:id="143"/>
      <w:bookmarkEnd w:id="144"/>
      <w:bookmarkEnd w:id="145"/>
      <w:bookmarkEnd w:id="146"/>
      <w:bookmarkEnd w:id="147"/>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2</w:t>
      </w:r>
      <w:r>
        <w:rPr>
          <w:rFonts w:hint="eastAsia" w:ascii="仿宋" w:hAnsi="仿宋" w:eastAsia="仿宋" w:cs="仿宋"/>
          <w:color w:val="auto"/>
          <w:szCs w:val="21"/>
          <w:highlight w:val="none"/>
        </w:rPr>
        <w:t>.1 投标人编写的响应文件按第四章“响应文件格式”提供的格式及要求填写，并按顺序装订成册。</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48" w:name="_Toc807"/>
      <w:bookmarkStart w:id="149" w:name="_Toc19417"/>
      <w:bookmarkStart w:id="150" w:name="_Toc25119"/>
      <w:bookmarkStart w:id="151" w:name="_Toc15896"/>
      <w:bookmarkStart w:id="152" w:name="_Toc21312"/>
      <w:bookmarkStart w:id="153" w:name="_Toc18203"/>
      <w:bookmarkStart w:id="154" w:name="_Toc14111"/>
      <w:bookmarkStart w:id="155" w:name="_Toc31178"/>
      <w:bookmarkStart w:id="156" w:name="_Toc12104"/>
      <w:r>
        <w:rPr>
          <w:rFonts w:hint="eastAsia" w:ascii="仿宋" w:hAnsi="仿宋" w:eastAsia="仿宋" w:cs="仿宋"/>
          <w:color w:val="auto"/>
          <w:szCs w:val="24"/>
          <w:highlight w:val="none"/>
        </w:rPr>
        <w:t>报价和报价货币</w:t>
      </w:r>
      <w:bookmarkEnd w:id="148"/>
      <w:bookmarkEnd w:id="149"/>
      <w:bookmarkEnd w:id="150"/>
      <w:bookmarkEnd w:id="151"/>
      <w:bookmarkEnd w:id="152"/>
      <w:bookmarkEnd w:id="153"/>
      <w:bookmarkEnd w:id="154"/>
      <w:bookmarkEnd w:id="155"/>
      <w:bookmarkEnd w:id="156"/>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报价指本次服务的总报价，包含完成本项目服务内容所需的一切费用。</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投标人应就“项目需求”中的服务内容作完整唯一报价。</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pPr>
        <w:numPr>
          <w:ilvl w:val="1"/>
          <w:numId w:val="10"/>
        </w:numPr>
        <w:spacing w:line="460" w:lineRule="exact"/>
        <w:ind w:left="850" w:leftChars="0" w:hanging="453"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报价货币为人民币。</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57" w:name="_Toc30518"/>
      <w:bookmarkStart w:id="158" w:name="_Toc17608"/>
      <w:bookmarkStart w:id="159" w:name="_Toc26047"/>
      <w:bookmarkStart w:id="160" w:name="_Toc4530"/>
      <w:bookmarkStart w:id="161" w:name="_Toc22694"/>
      <w:bookmarkStart w:id="162" w:name="_Toc5496"/>
      <w:bookmarkStart w:id="163" w:name="_Toc9717"/>
      <w:bookmarkStart w:id="164" w:name="_Toc5948"/>
      <w:bookmarkStart w:id="165" w:name="_Toc14166"/>
      <w:r>
        <w:rPr>
          <w:rFonts w:hint="eastAsia" w:ascii="仿宋" w:hAnsi="仿宋" w:eastAsia="仿宋" w:cs="仿宋"/>
          <w:color w:val="auto"/>
          <w:szCs w:val="24"/>
          <w:highlight w:val="none"/>
        </w:rPr>
        <w:t>有效期</w:t>
      </w:r>
      <w:bookmarkEnd w:id="157"/>
      <w:bookmarkEnd w:id="158"/>
      <w:bookmarkEnd w:id="159"/>
      <w:bookmarkEnd w:id="160"/>
      <w:bookmarkEnd w:id="161"/>
      <w:bookmarkEnd w:id="162"/>
      <w:bookmarkEnd w:id="163"/>
      <w:bookmarkEnd w:id="164"/>
      <w:bookmarkEnd w:id="165"/>
    </w:p>
    <w:p>
      <w:pPr>
        <w:numPr>
          <w:ilvl w:val="1"/>
          <w:numId w:val="11"/>
        </w:numPr>
        <w:spacing w:line="460" w:lineRule="exact"/>
        <w:ind w:left="374" w:leftChars="0" w:hanging="374"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在“</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”规定的有效期内，投标人不得要求撤销或修改其响应文件。</w:t>
      </w:r>
    </w:p>
    <w:p>
      <w:pPr>
        <w:numPr>
          <w:ilvl w:val="1"/>
          <w:numId w:val="11"/>
        </w:numPr>
        <w:spacing w:line="460" w:lineRule="exact"/>
        <w:ind w:left="374" w:leftChars="0" w:hanging="374" w:firstLineChars="0"/>
        <w:jc w:val="left"/>
        <w:rPr>
          <w:rFonts w:hint="eastAsia" w:ascii="仿宋" w:hAnsi="仿宋" w:eastAsia="仿宋" w:cs="仿宋"/>
          <w:color w:val="auto"/>
          <w:sz w:val="24"/>
          <w:highlight w:val="none"/>
        </w:rPr>
      </w:pPr>
      <w:r>
        <w:rPr>
          <w:rFonts w:hint="eastAsia" w:ascii="仿宋" w:hAnsi="仿宋" w:eastAsia="仿宋" w:cs="仿宋"/>
          <w:color w:val="auto"/>
          <w:szCs w:val="21"/>
          <w:highlight w:val="none"/>
        </w:rPr>
        <w:t>因特殊情况需要延长有效期的，招标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以书面形式通知所有投标人延长有效期。投标人同意延长的，应相应延长其保证金的有效期，但不得要求或被允许修改或撤销其响应文件；投标人拒绝延长的，其比选申请失效，但投标人有权收回其保证金。</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66" w:name="_Toc16323"/>
      <w:bookmarkStart w:id="167" w:name="_Toc16248"/>
      <w:bookmarkStart w:id="168" w:name="_Toc21829"/>
      <w:bookmarkStart w:id="169" w:name="_Toc25546"/>
      <w:bookmarkStart w:id="170" w:name="_Toc778"/>
      <w:bookmarkStart w:id="171" w:name="_Toc28335"/>
      <w:bookmarkStart w:id="172" w:name="_Toc3188"/>
      <w:bookmarkStart w:id="173" w:name="_Toc3718"/>
      <w:bookmarkStart w:id="174" w:name="_Toc2016"/>
      <w:r>
        <w:rPr>
          <w:rFonts w:hint="eastAsia" w:ascii="仿宋" w:hAnsi="仿宋" w:eastAsia="仿宋" w:cs="仿宋"/>
          <w:color w:val="auto"/>
          <w:szCs w:val="24"/>
          <w:highlight w:val="none"/>
        </w:rPr>
        <w:t>响应文件的书写要求</w:t>
      </w:r>
      <w:bookmarkEnd w:id="166"/>
      <w:bookmarkEnd w:id="167"/>
      <w:bookmarkEnd w:id="168"/>
      <w:bookmarkEnd w:id="169"/>
      <w:bookmarkEnd w:id="170"/>
      <w:bookmarkEnd w:id="171"/>
      <w:bookmarkEnd w:id="172"/>
      <w:bookmarkEnd w:id="173"/>
      <w:bookmarkEnd w:id="174"/>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响应文件须用不褪色的墨水书写或打印。并按比选文件要求由投标人的法定代表人或其委托代理人签字并盖单位章。</w:t>
      </w:r>
      <w:r>
        <w:rPr>
          <w:rFonts w:hint="eastAsia" w:ascii="仿宋" w:hAnsi="仿宋" w:eastAsia="仿宋" w:cs="仿宋"/>
          <w:b/>
          <w:color w:val="auto"/>
          <w:szCs w:val="21"/>
          <w:highlight w:val="none"/>
        </w:rPr>
        <w:t>委托代理人签字的，响应文件应附法定代表人签署的授权委托书。</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响应文件应尽量避免涂改、行间插字或删除。如果出现上述情况，改动之处应加盖单位章或投标人法定代表人或其授权的代理人签字确认。</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字迹潦草、表达不清、未按要求填写而导致非唯一理解，造成未实质性响应比选文件的响应文件将会被认定为无效的比选申请。因复印模糊，导致资料无法辨认的，视为未提供该资料。</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响应文件应准备正本一份，并按“投标人须知前附表”中规定的数量准备文件的副本。响应文件封面上应标明“正本”或“副本”。若正本和副本不符，以正本为准，副本可以采用正本的复印件。</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pPr>
        <w:numPr>
          <w:ilvl w:val="1"/>
          <w:numId w:val="12"/>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响应文件正本与副本均应采用A4幅面纸张编制。</w:t>
      </w:r>
    </w:p>
    <w:p>
      <w:pPr>
        <w:pStyle w:val="4"/>
        <w:numPr>
          <w:ilvl w:val="0"/>
          <w:numId w:val="8"/>
        </w:numPr>
        <w:tabs>
          <w:tab w:val="clear" w:pos="1588"/>
        </w:tabs>
        <w:spacing w:before="0" w:after="0" w:line="460" w:lineRule="exact"/>
        <w:ind w:left="587"/>
        <w:jc w:val="both"/>
        <w:rPr>
          <w:rFonts w:hint="eastAsia" w:ascii="仿宋" w:hAnsi="仿宋" w:eastAsia="仿宋" w:cs="仿宋"/>
          <w:color w:val="auto"/>
          <w:szCs w:val="24"/>
          <w:highlight w:val="none"/>
        </w:rPr>
      </w:pPr>
      <w:bookmarkStart w:id="175" w:name="_Toc30078"/>
      <w:bookmarkStart w:id="176" w:name="_Toc638"/>
      <w:bookmarkStart w:id="177" w:name="_Toc20875"/>
      <w:bookmarkStart w:id="178" w:name="_Toc25523"/>
      <w:bookmarkStart w:id="179" w:name="_Toc28324"/>
      <w:bookmarkStart w:id="180" w:name="_Toc4551"/>
      <w:bookmarkStart w:id="181" w:name="_Toc16541"/>
      <w:bookmarkStart w:id="182" w:name="_Toc14550"/>
      <w:bookmarkStart w:id="183" w:name="_Toc549"/>
      <w:r>
        <w:rPr>
          <w:rFonts w:hint="eastAsia" w:ascii="仿宋" w:hAnsi="仿宋" w:eastAsia="仿宋" w:cs="仿宋"/>
          <w:color w:val="auto"/>
          <w:szCs w:val="24"/>
          <w:highlight w:val="none"/>
          <w:lang w:val="en-US" w:eastAsia="zh-CN"/>
        </w:rPr>
        <w:t>比选</w:t>
      </w:r>
      <w:r>
        <w:rPr>
          <w:rFonts w:hint="eastAsia" w:ascii="仿宋" w:hAnsi="仿宋" w:eastAsia="仿宋" w:cs="仿宋"/>
          <w:color w:val="auto"/>
          <w:szCs w:val="24"/>
          <w:highlight w:val="none"/>
        </w:rPr>
        <w:t>保证金</w:t>
      </w:r>
      <w:bookmarkEnd w:id="175"/>
      <w:bookmarkEnd w:id="176"/>
      <w:bookmarkEnd w:id="177"/>
      <w:bookmarkEnd w:id="178"/>
      <w:bookmarkEnd w:id="179"/>
      <w:bookmarkEnd w:id="180"/>
      <w:bookmarkEnd w:id="181"/>
      <w:bookmarkEnd w:id="182"/>
      <w:bookmarkEnd w:id="183"/>
    </w:p>
    <w:p>
      <w:pPr>
        <w:pStyle w:val="3"/>
        <w:numPr>
          <w:ilvl w:val="0"/>
          <w:numId w:val="0"/>
        </w:numPr>
        <w:spacing w:before="0" w:after="0" w:line="460" w:lineRule="exact"/>
        <w:ind w:left="425"/>
        <w:jc w:val="left"/>
        <w:rPr>
          <w:rFonts w:hint="default" w:ascii="仿宋" w:hAnsi="仿宋" w:eastAsia="仿宋" w:cs="仿宋"/>
          <w:b w:val="0"/>
          <w:bCs w:val="0"/>
          <w:color w:val="auto"/>
          <w:kern w:val="2"/>
          <w:sz w:val="21"/>
          <w:szCs w:val="21"/>
          <w:highlight w:val="none"/>
          <w:lang w:val="en-US" w:eastAsia="zh-CN" w:bidi="ar-SA"/>
        </w:rPr>
      </w:pPr>
      <w:bookmarkStart w:id="184" w:name="_Toc13244"/>
      <w:bookmarkStart w:id="185" w:name="_Toc19123"/>
      <w:bookmarkStart w:id="186" w:name="_Toc23272"/>
      <w:bookmarkStart w:id="187" w:name="_Toc30616"/>
      <w:bookmarkStart w:id="188" w:name="_Toc15162"/>
      <w:bookmarkStart w:id="189" w:name="_Toc16348"/>
      <w:bookmarkStart w:id="190" w:name="_Toc5244"/>
      <w:r>
        <w:rPr>
          <w:rFonts w:hint="eastAsia" w:ascii="仿宋" w:hAnsi="仿宋" w:eastAsia="仿宋" w:cs="仿宋"/>
          <w:b w:val="0"/>
          <w:bCs w:val="0"/>
          <w:color w:val="auto"/>
          <w:kern w:val="2"/>
          <w:sz w:val="21"/>
          <w:szCs w:val="21"/>
          <w:highlight w:val="none"/>
          <w:lang w:val="en-US" w:eastAsia="zh-CN" w:bidi="ar-SA"/>
        </w:rPr>
        <w:t>本项目不收取比选保证金。</w:t>
      </w:r>
    </w:p>
    <w:p>
      <w:pPr>
        <w:pStyle w:val="3"/>
        <w:numPr>
          <w:ilvl w:val="0"/>
          <w:numId w:val="0"/>
        </w:numPr>
        <w:spacing w:before="0" w:after="0" w:line="460" w:lineRule="exact"/>
        <w:ind w:left="425"/>
        <w:rPr>
          <w:rFonts w:hint="eastAsia" w:ascii="仿宋" w:hAnsi="仿宋" w:eastAsia="仿宋" w:cs="仿宋"/>
          <w:color w:val="auto"/>
          <w:szCs w:val="28"/>
          <w:highlight w:val="none"/>
        </w:rPr>
      </w:pPr>
      <w:r>
        <w:rPr>
          <w:rFonts w:hint="eastAsia" w:ascii="仿宋" w:hAnsi="仿宋" w:eastAsia="仿宋" w:cs="仿宋"/>
          <w:color w:val="auto"/>
          <w:szCs w:val="28"/>
          <w:highlight w:val="none"/>
        </w:rPr>
        <w:t>四、响应文件的提交</w:t>
      </w:r>
      <w:bookmarkEnd w:id="184"/>
      <w:bookmarkEnd w:id="185"/>
      <w:bookmarkEnd w:id="186"/>
      <w:bookmarkEnd w:id="187"/>
      <w:bookmarkEnd w:id="188"/>
      <w:bookmarkEnd w:id="189"/>
      <w:bookmarkEnd w:id="190"/>
    </w:p>
    <w:p>
      <w:pPr>
        <w:pStyle w:val="4"/>
        <w:numPr>
          <w:ilvl w:val="0"/>
          <w:numId w:val="13"/>
        </w:numPr>
        <w:tabs>
          <w:tab w:val="clear" w:pos="1588"/>
        </w:tabs>
        <w:spacing w:before="0" w:after="0" w:line="460" w:lineRule="exact"/>
        <w:ind w:left="587"/>
        <w:jc w:val="both"/>
        <w:rPr>
          <w:rFonts w:hint="eastAsia" w:ascii="仿宋" w:hAnsi="仿宋" w:eastAsia="仿宋" w:cs="仿宋"/>
          <w:color w:val="auto"/>
          <w:szCs w:val="24"/>
          <w:highlight w:val="none"/>
        </w:rPr>
      </w:pPr>
      <w:bookmarkStart w:id="191" w:name="_Toc31052"/>
      <w:bookmarkStart w:id="192" w:name="_Toc23438"/>
      <w:bookmarkStart w:id="193" w:name="_Toc24609"/>
      <w:bookmarkStart w:id="194" w:name="_Toc18720"/>
      <w:bookmarkStart w:id="195" w:name="_Toc23651"/>
      <w:bookmarkStart w:id="196" w:name="_Toc25824"/>
      <w:bookmarkStart w:id="197" w:name="_Toc9158"/>
      <w:bookmarkStart w:id="198" w:name="_Toc32688"/>
      <w:bookmarkStart w:id="199" w:name="_Toc6683"/>
      <w:r>
        <w:rPr>
          <w:rFonts w:hint="eastAsia" w:ascii="仿宋" w:hAnsi="仿宋" w:eastAsia="仿宋" w:cs="仿宋"/>
          <w:color w:val="auto"/>
          <w:szCs w:val="24"/>
          <w:highlight w:val="none"/>
        </w:rPr>
        <w:t>响应文件的密封与标记</w:t>
      </w:r>
      <w:bookmarkEnd w:id="191"/>
      <w:bookmarkEnd w:id="192"/>
      <w:bookmarkEnd w:id="193"/>
      <w:bookmarkEnd w:id="194"/>
      <w:bookmarkEnd w:id="195"/>
      <w:bookmarkEnd w:id="196"/>
      <w:bookmarkEnd w:id="197"/>
      <w:bookmarkEnd w:id="198"/>
      <w:bookmarkEnd w:id="199"/>
    </w:p>
    <w:p>
      <w:pPr>
        <w:numPr>
          <w:ilvl w:val="1"/>
          <w:numId w:val="14"/>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投标人应按“</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”中规定的正本和副本的数量提交响应文件。</w:t>
      </w:r>
    </w:p>
    <w:p>
      <w:pPr>
        <w:numPr>
          <w:ilvl w:val="1"/>
          <w:numId w:val="14"/>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投标人应将正、副本文件</w:t>
      </w:r>
      <w:r>
        <w:rPr>
          <w:rFonts w:hint="eastAsia" w:ascii="仿宋" w:hAnsi="仿宋" w:eastAsia="仿宋" w:cs="仿宋"/>
          <w:color w:val="auto"/>
          <w:szCs w:val="21"/>
          <w:highlight w:val="none"/>
          <w:lang w:val="en-US" w:eastAsia="zh-CN"/>
        </w:rPr>
        <w:t>一起</w:t>
      </w:r>
      <w:r>
        <w:rPr>
          <w:rFonts w:hint="eastAsia" w:ascii="仿宋" w:hAnsi="仿宋" w:eastAsia="仿宋" w:cs="仿宋"/>
          <w:color w:val="auto"/>
          <w:szCs w:val="21"/>
          <w:highlight w:val="none"/>
        </w:rPr>
        <w:t>加以密封，并在封贴处盖密封章（或公章）。</w:t>
      </w:r>
    </w:p>
    <w:p>
      <w:pPr>
        <w:numPr>
          <w:ilvl w:val="1"/>
          <w:numId w:val="14"/>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响应文件袋的封面应注明项目名称、项目编号、投标人名称、详细通讯地址、邮政编码。</w:t>
      </w:r>
    </w:p>
    <w:p>
      <w:pPr>
        <w:pStyle w:val="13"/>
        <w:numPr>
          <w:ilvl w:val="1"/>
          <w:numId w:val="14"/>
        </w:numPr>
        <w:spacing w:line="460" w:lineRule="exact"/>
        <w:ind w:left="567" w:leftChars="0" w:hanging="567" w:firstLineChars="0"/>
        <w:rPr>
          <w:rFonts w:hint="eastAsia" w:ascii="仿宋" w:hAnsi="仿宋" w:eastAsia="仿宋" w:cs="仿宋"/>
          <w:color w:val="auto"/>
          <w:highlight w:val="none"/>
        </w:rPr>
      </w:pPr>
      <w:r>
        <w:rPr>
          <w:rFonts w:hint="eastAsia" w:ascii="仿宋" w:hAnsi="仿宋" w:eastAsia="仿宋" w:cs="仿宋"/>
          <w:color w:val="auto"/>
          <w:szCs w:val="21"/>
          <w:highlight w:val="none"/>
        </w:rPr>
        <w:t>★ 投标人在提交响应文件时，未按本须知要求14.2、14.3密封、标记的，招标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不予接收。</w:t>
      </w:r>
    </w:p>
    <w:p>
      <w:pPr>
        <w:pStyle w:val="4"/>
        <w:numPr>
          <w:ilvl w:val="0"/>
          <w:numId w:val="13"/>
        </w:numPr>
        <w:tabs>
          <w:tab w:val="clear" w:pos="1588"/>
        </w:tabs>
        <w:spacing w:before="0" w:after="0" w:line="460" w:lineRule="exact"/>
        <w:ind w:left="587"/>
        <w:jc w:val="both"/>
        <w:rPr>
          <w:rFonts w:hint="eastAsia" w:ascii="仿宋" w:hAnsi="仿宋" w:eastAsia="仿宋" w:cs="仿宋"/>
          <w:color w:val="auto"/>
          <w:szCs w:val="24"/>
          <w:highlight w:val="none"/>
        </w:rPr>
      </w:pPr>
      <w:bookmarkStart w:id="200" w:name="_Toc9484"/>
      <w:bookmarkStart w:id="201" w:name="_Toc25016"/>
      <w:bookmarkStart w:id="202" w:name="_Toc13923"/>
      <w:bookmarkStart w:id="203" w:name="_Toc27301"/>
      <w:bookmarkStart w:id="204" w:name="_Toc13500"/>
      <w:bookmarkStart w:id="205" w:name="_Toc14376"/>
      <w:bookmarkStart w:id="206" w:name="_Toc23305"/>
      <w:bookmarkStart w:id="207" w:name="_Toc18955"/>
      <w:bookmarkStart w:id="208" w:name="_Toc27655"/>
      <w:r>
        <w:rPr>
          <w:rFonts w:hint="eastAsia" w:ascii="仿宋" w:hAnsi="仿宋" w:eastAsia="仿宋" w:cs="仿宋"/>
          <w:color w:val="auto"/>
          <w:szCs w:val="24"/>
          <w:highlight w:val="none"/>
        </w:rPr>
        <w:t>递交响应文件的截止时间和地点</w:t>
      </w:r>
      <w:bookmarkEnd w:id="200"/>
      <w:bookmarkEnd w:id="201"/>
      <w:bookmarkEnd w:id="202"/>
      <w:bookmarkEnd w:id="203"/>
      <w:bookmarkEnd w:id="204"/>
      <w:bookmarkEnd w:id="205"/>
      <w:bookmarkEnd w:id="206"/>
      <w:bookmarkEnd w:id="207"/>
      <w:bookmarkEnd w:id="208"/>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响应文件的递交不得迟于“投标人须知前附表”规定的递交响应文件截止时间。</w:t>
      </w:r>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投标人必须在规定时间内将响应文件递交到“投标人须知前附表”规定的地点。</w:t>
      </w:r>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除“投标人须知前附表”另有规定外，投标人所递交的响应文件不予退还。</w:t>
      </w:r>
    </w:p>
    <w:p>
      <w:pPr>
        <w:numPr>
          <w:ilvl w:val="1"/>
          <w:numId w:val="15"/>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逾期送达的或者未送达指定地点的响应文件，招标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不予受理。</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209" w:name="_Toc29805"/>
      <w:bookmarkStart w:id="210" w:name="_Toc17394"/>
      <w:bookmarkStart w:id="211" w:name="_Toc18622"/>
      <w:bookmarkStart w:id="212" w:name="_Toc14212"/>
      <w:bookmarkStart w:id="213" w:name="_Toc458"/>
      <w:bookmarkStart w:id="214" w:name="_Toc21810"/>
      <w:bookmarkStart w:id="215" w:name="_Toc21768"/>
      <w:r>
        <w:rPr>
          <w:rFonts w:hint="eastAsia" w:ascii="仿宋" w:hAnsi="仿宋" w:eastAsia="仿宋" w:cs="仿宋"/>
          <w:color w:val="auto"/>
          <w:szCs w:val="28"/>
          <w:highlight w:val="none"/>
        </w:rPr>
        <w:t>五、比选与评审</w:t>
      </w:r>
      <w:bookmarkEnd w:id="209"/>
      <w:bookmarkEnd w:id="210"/>
      <w:bookmarkEnd w:id="211"/>
      <w:bookmarkEnd w:id="212"/>
      <w:bookmarkEnd w:id="213"/>
      <w:bookmarkEnd w:id="214"/>
      <w:bookmarkEnd w:id="215"/>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16" w:name="_Toc11620"/>
      <w:bookmarkStart w:id="217" w:name="_Toc1274"/>
      <w:bookmarkStart w:id="218" w:name="_Toc18495"/>
      <w:bookmarkStart w:id="219" w:name="_Toc25590"/>
      <w:r>
        <w:rPr>
          <w:rFonts w:hint="eastAsia" w:ascii="仿宋" w:hAnsi="仿宋" w:eastAsia="仿宋" w:cs="仿宋"/>
          <w:color w:val="auto"/>
          <w:szCs w:val="24"/>
          <w:highlight w:val="none"/>
        </w:rPr>
        <w:t>比选</w:t>
      </w:r>
      <w:bookmarkEnd w:id="216"/>
      <w:bookmarkEnd w:id="217"/>
      <w:bookmarkEnd w:id="218"/>
      <w:bookmarkEnd w:id="219"/>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w:t>
      </w:r>
      <w:r>
        <w:rPr>
          <w:rFonts w:hint="eastAsia" w:ascii="仿宋" w:hAnsi="仿宋" w:eastAsia="仿宋" w:cs="仿宋"/>
          <w:color w:val="auto"/>
          <w:szCs w:val="21"/>
          <w:highlight w:val="none"/>
          <w:lang w:val="en-US" w:eastAsia="zh-CN"/>
        </w:rPr>
        <w:t>人</w:t>
      </w:r>
      <w:r>
        <w:rPr>
          <w:rFonts w:hint="eastAsia" w:ascii="仿宋" w:hAnsi="仿宋" w:eastAsia="仿宋" w:cs="仿宋"/>
          <w:color w:val="auto"/>
          <w:szCs w:val="21"/>
          <w:highlight w:val="none"/>
        </w:rPr>
        <w:t>将在“</w:t>
      </w:r>
      <w:r>
        <w:rPr>
          <w:rFonts w:hint="eastAsia" w:ascii="仿宋" w:hAnsi="仿宋" w:eastAsia="仿宋" w:cs="仿宋"/>
          <w:b/>
          <w:color w:val="auto"/>
          <w:szCs w:val="21"/>
          <w:highlight w:val="none"/>
        </w:rPr>
        <w:t>投标人须知前附表</w:t>
      </w:r>
      <w:r>
        <w:rPr>
          <w:rFonts w:hint="eastAsia" w:ascii="仿宋" w:hAnsi="仿宋" w:eastAsia="仿宋" w:cs="仿宋"/>
          <w:color w:val="auto"/>
          <w:szCs w:val="21"/>
          <w:highlight w:val="none"/>
        </w:rPr>
        <w:t>”规定的时间和地点进行比选，投标人的法定代表人或其委托代理人应按时参加。</w:t>
      </w:r>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20" w:name="_Toc21190"/>
      <w:bookmarkStart w:id="221" w:name="_Toc11936"/>
      <w:bookmarkStart w:id="222" w:name="_Toc22276"/>
      <w:bookmarkStart w:id="223" w:name="_Toc13268"/>
      <w:bookmarkStart w:id="224" w:name="_Toc14642"/>
      <w:bookmarkStart w:id="225" w:name="_Toc13178"/>
      <w:bookmarkStart w:id="226" w:name="_Toc6521"/>
      <w:bookmarkStart w:id="227" w:name="_Toc1227"/>
      <w:bookmarkStart w:id="228" w:name="_Toc5441"/>
      <w:r>
        <w:rPr>
          <w:rFonts w:hint="eastAsia" w:ascii="仿宋" w:hAnsi="仿宋" w:eastAsia="仿宋" w:cs="仿宋"/>
          <w:color w:val="auto"/>
          <w:szCs w:val="24"/>
          <w:highlight w:val="none"/>
        </w:rPr>
        <w:t>评审</w:t>
      </w:r>
      <w:bookmarkEnd w:id="220"/>
      <w:bookmarkEnd w:id="221"/>
      <w:bookmarkEnd w:id="222"/>
      <w:bookmarkEnd w:id="223"/>
      <w:bookmarkEnd w:id="224"/>
      <w:bookmarkEnd w:id="225"/>
      <w:bookmarkEnd w:id="226"/>
      <w:bookmarkEnd w:id="227"/>
      <w:bookmarkEnd w:id="228"/>
    </w:p>
    <w:p>
      <w:pPr>
        <w:numPr>
          <w:ilvl w:val="1"/>
          <w:numId w:val="17"/>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评审由比选小组负责。比选小组由评审专家3名组成。</w:t>
      </w:r>
    </w:p>
    <w:p>
      <w:pPr>
        <w:numPr>
          <w:ilvl w:val="1"/>
          <w:numId w:val="17"/>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比选小组及其成员不得有下列行为：</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（一）确定参与评标至评标结束前私自接触投标人；</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（二）违反评标纪律发表倾向性意见或者征询招标人的倾向性意见；</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（三）对需要专业判断的主观评审因素协商评分；</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（四）在评标过程中擅离职守，影响评标程序正常进行的；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（五）记录、复制或者带走任何评标资料；</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（六）其他不遵守评标纪律的行为。</w:t>
      </w:r>
    </w:p>
    <w:p>
      <w:pPr>
        <w:numPr>
          <w:ilvl w:val="1"/>
          <w:numId w:val="17"/>
        </w:numPr>
        <w:spacing w:line="46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评审</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比选小组对各投标人的响应文件进行详细评审。评标完成后，比选小组应当向招标人提交书面评标报告，按照得分由高到低的顺序推荐三名中标候选人。</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29" w:name="_Toc5391"/>
      <w:bookmarkStart w:id="230" w:name="_Toc30516"/>
      <w:bookmarkStart w:id="231" w:name="_Toc12685"/>
      <w:bookmarkStart w:id="232" w:name="_Toc8818"/>
      <w:bookmarkStart w:id="233" w:name="_Toc12930"/>
      <w:bookmarkStart w:id="234" w:name="_Toc4484"/>
      <w:bookmarkStart w:id="235" w:name="_Toc22867"/>
      <w:bookmarkStart w:id="236" w:name="_Toc15189"/>
      <w:bookmarkStart w:id="237" w:name="_Toc30781"/>
      <w:r>
        <w:rPr>
          <w:rFonts w:hint="eastAsia" w:ascii="仿宋" w:hAnsi="仿宋" w:eastAsia="仿宋" w:cs="仿宋"/>
          <w:color w:val="auto"/>
          <w:szCs w:val="24"/>
          <w:highlight w:val="none"/>
        </w:rPr>
        <w:t>评审过程的保密</w:t>
      </w:r>
      <w:bookmarkEnd w:id="229"/>
      <w:bookmarkEnd w:id="230"/>
      <w:bookmarkEnd w:id="231"/>
      <w:bookmarkEnd w:id="232"/>
      <w:bookmarkEnd w:id="233"/>
      <w:bookmarkEnd w:id="234"/>
      <w:bookmarkEnd w:id="235"/>
      <w:bookmarkEnd w:id="236"/>
      <w:bookmarkEnd w:id="237"/>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比选小组成员以及与评审工作有关的人员不得泄露评审情况以及评审过程中获悉的国家秘密、商业秘密。</w:t>
      </w:r>
    </w:p>
    <w:p>
      <w:pPr>
        <w:pStyle w:val="4"/>
        <w:numPr>
          <w:ilvl w:val="0"/>
          <w:numId w:val="16"/>
        </w:numPr>
        <w:tabs>
          <w:tab w:val="clear" w:pos="1588"/>
        </w:tabs>
        <w:spacing w:before="0" w:after="0" w:line="460" w:lineRule="exact"/>
        <w:ind w:left="587"/>
        <w:jc w:val="both"/>
        <w:rPr>
          <w:rFonts w:hint="eastAsia" w:ascii="仿宋" w:hAnsi="仿宋" w:eastAsia="仿宋" w:cs="仿宋"/>
          <w:color w:val="auto"/>
          <w:szCs w:val="24"/>
          <w:highlight w:val="none"/>
        </w:rPr>
      </w:pPr>
      <w:bookmarkStart w:id="238" w:name="_Toc2235"/>
      <w:bookmarkStart w:id="239" w:name="_Toc4767"/>
      <w:bookmarkStart w:id="240" w:name="_Toc972"/>
      <w:bookmarkStart w:id="241" w:name="_Toc4683"/>
      <w:bookmarkStart w:id="242" w:name="_Toc21890"/>
      <w:bookmarkStart w:id="243" w:name="_Toc11489"/>
      <w:bookmarkStart w:id="244" w:name="_Toc25303"/>
      <w:bookmarkStart w:id="245" w:name="_Toc13250"/>
      <w:bookmarkStart w:id="246" w:name="_Toc26685"/>
      <w:r>
        <w:rPr>
          <w:rFonts w:hint="eastAsia" w:ascii="仿宋" w:hAnsi="仿宋" w:eastAsia="仿宋" w:cs="仿宋"/>
          <w:color w:val="auto"/>
          <w:szCs w:val="24"/>
          <w:highlight w:val="none"/>
        </w:rPr>
        <w:t>出现下列情形之一的，项目终止：</w:t>
      </w:r>
      <w:bookmarkEnd w:id="238"/>
      <w:bookmarkEnd w:id="239"/>
      <w:bookmarkEnd w:id="240"/>
      <w:bookmarkEnd w:id="241"/>
      <w:bookmarkEnd w:id="242"/>
      <w:bookmarkEnd w:id="243"/>
      <w:bookmarkEnd w:id="244"/>
      <w:bookmarkEnd w:id="245"/>
      <w:bookmarkEnd w:id="246"/>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（1）最终符合条件参与比选的投标人不足3家的；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（2）在比选过程中，比选小组认为所有投标人的报价均明显超过市场合理价位的；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（3）在比选过程中，比选小组认为所有投标人的服务质量均不能满足招标人需求的；</w:t>
      </w:r>
    </w:p>
    <w:p>
      <w:pPr>
        <w:spacing w:line="46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（4）出现影响项目公正的违法、违规行为的</w:t>
      </w:r>
    </w:p>
    <w:p>
      <w:pPr>
        <w:spacing w:line="460" w:lineRule="exact"/>
        <w:ind w:firstLine="420" w:firstLineChars="200"/>
        <w:jc w:val="left"/>
        <w:rPr>
          <w:rFonts w:hint="eastAsia" w:ascii="仿宋" w:hAnsi="仿宋" w:eastAsia="仿宋" w:cs="仿宋"/>
          <w:color w:val="auto"/>
          <w:highlight w:val="none"/>
        </w:rPr>
      </w:pPr>
      <w:r>
        <w:rPr>
          <w:rFonts w:hint="eastAsia" w:ascii="仿宋" w:hAnsi="仿宋" w:eastAsia="仿宋" w:cs="仿宋"/>
          <w:color w:val="auto"/>
          <w:szCs w:val="21"/>
          <w:highlight w:val="none"/>
        </w:rPr>
        <w:t>（5）因重大变故，项目任务取消的。</w:t>
      </w:r>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247" w:name="_Toc10957"/>
      <w:bookmarkStart w:id="248" w:name="_Toc7613"/>
      <w:bookmarkStart w:id="249" w:name="_Toc28133"/>
      <w:bookmarkStart w:id="250" w:name="_Toc14981"/>
      <w:bookmarkStart w:id="251" w:name="_Toc6826"/>
      <w:bookmarkStart w:id="252" w:name="_Toc16096"/>
      <w:bookmarkStart w:id="253" w:name="_Toc21349"/>
      <w:r>
        <w:rPr>
          <w:rFonts w:hint="eastAsia" w:ascii="仿宋" w:hAnsi="仿宋" w:eastAsia="仿宋" w:cs="仿宋"/>
          <w:color w:val="auto"/>
          <w:szCs w:val="28"/>
          <w:highlight w:val="none"/>
        </w:rPr>
        <w:t>六、中标结果</w:t>
      </w:r>
      <w:bookmarkEnd w:id="247"/>
      <w:bookmarkEnd w:id="248"/>
      <w:bookmarkEnd w:id="249"/>
      <w:bookmarkEnd w:id="250"/>
      <w:bookmarkEnd w:id="251"/>
      <w:bookmarkEnd w:id="252"/>
      <w:bookmarkEnd w:id="253"/>
    </w:p>
    <w:p>
      <w:pPr>
        <w:pStyle w:val="4"/>
        <w:numPr>
          <w:ilvl w:val="0"/>
          <w:numId w:val="18"/>
        </w:numPr>
        <w:tabs>
          <w:tab w:val="clear" w:pos="1588"/>
        </w:tabs>
        <w:spacing w:before="0" w:after="0" w:line="460" w:lineRule="exact"/>
        <w:ind w:left="587"/>
        <w:jc w:val="both"/>
        <w:rPr>
          <w:rFonts w:hint="eastAsia" w:ascii="仿宋" w:hAnsi="仿宋" w:eastAsia="仿宋" w:cs="仿宋"/>
          <w:color w:val="auto"/>
          <w:szCs w:val="24"/>
          <w:highlight w:val="none"/>
        </w:rPr>
      </w:pPr>
      <w:bookmarkStart w:id="254" w:name="_Toc11393"/>
      <w:bookmarkStart w:id="255" w:name="_Toc17069"/>
      <w:bookmarkStart w:id="256" w:name="_Toc11941"/>
      <w:bookmarkStart w:id="257" w:name="_Toc19153"/>
      <w:bookmarkStart w:id="258" w:name="_Toc5216"/>
      <w:bookmarkStart w:id="259" w:name="_Toc11404"/>
      <w:bookmarkStart w:id="260" w:name="_Toc19198"/>
      <w:bookmarkStart w:id="261" w:name="_Toc31574"/>
      <w:bookmarkStart w:id="262" w:name="_Toc23306"/>
      <w:r>
        <w:rPr>
          <w:rFonts w:hint="eastAsia" w:ascii="仿宋" w:hAnsi="仿宋" w:eastAsia="仿宋" w:cs="仿宋"/>
          <w:color w:val="auto"/>
          <w:szCs w:val="24"/>
          <w:highlight w:val="none"/>
        </w:rPr>
        <w:t>中标通知书</w:t>
      </w:r>
      <w:bookmarkEnd w:id="254"/>
      <w:bookmarkEnd w:id="255"/>
      <w:bookmarkEnd w:id="256"/>
      <w:bookmarkEnd w:id="257"/>
      <w:bookmarkEnd w:id="258"/>
      <w:bookmarkEnd w:id="259"/>
      <w:bookmarkEnd w:id="260"/>
      <w:bookmarkEnd w:id="261"/>
      <w:bookmarkEnd w:id="262"/>
    </w:p>
    <w:p>
      <w:pPr>
        <w:widowControl/>
        <w:numPr>
          <w:ilvl w:val="0"/>
          <w:numId w:val="0"/>
        </w:numPr>
        <w:spacing w:line="460" w:lineRule="exact"/>
        <w:ind w:leftChars="0"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中标候选人确定后二个工作日内，中标结果由</w:t>
      </w:r>
      <w:r>
        <w:rPr>
          <w:rFonts w:hint="eastAsia" w:ascii="仿宋" w:hAnsi="仿宋" w:eastAsia="仿宋" w:cs="仿宋"/>
          <w:color w:val="auto"/>
          <w:szCs w:val="21"/>
          <w:highlight w:val="none"/>
          <w:lang w:val="en-US" w:eastAsia="zh-CN"/>
        </w:rPr>
        <w:t>学校</w:t>
      </w:r>
      <w:r>
        <w:rPr>
          <w:rFonts w:hint="eastAsia" w:ascii="仿宋" w:hAnsi="仿宋" w:eastAsia="仿宋" w:cs="仿宋"/>
          <w:color w:val="auto"/>
          <w:szCs w:val="21"/>
          <w:highlight w:val="none"/>
        </w:rPr>
        <w:t>在</w:t>
      </w:r>
      <w:r>
        <w:rPr>
          <w:rFonts w:hint="eastAsia" w:ascii="仿宋" w:hAnsi="仿宋" w:eastAsia="仿宋" w:cs="仿宋"/>
          <w:color w:val="auto"/>
          <w:szCs w:val="21"/>
          <w:highlight w:val="none"/>
          <w:lang w:val="en-US" w:eastAsia="zh-CN"/>
        </w:rPr>
        <w:t>官网</w:t>
      </w:r>
      <w:r>
        <w:rPr>
          <w:rFonts w:hint="eastAsia" w:ascii="仿宋" w:hAnsi="仿宋" w:eastAsia="仿宋" w:cs="仿宋"/>
          <w:color w:val="auto"/>
          <w:szCs w:val="21"/>
          <w:highlight w:val="none"/>
        </w:rPr>
        <w:t>上公告（https://www.ysdsjjy.com/sjjycms/front/index），同时向中标候选人发出中标通知书。中标通知书是合同的一个组成部分。</w:t>
      </w:r>
    </w:p>
    <w:p>
      <w:pPr>
        <w:pStyle w:val="4"/>
        <w:numPr>
          <w:ilvl w:val="0"/>
          <w:numId w:val="18"/>
        </w:numPr>
        <w:tabs>
          <w:tab w:val="clear" w:pos="1588"/>
        </w:tabs>
        <w:spacing w:before="0" w:after="0" w:line="460" w:lineRule="exact"/>
        <w:ind w:left="587"/>
        <w:jc w:val="both"/>
        <w:rPr>
          <w:rFonts w:hint="eastAsia" w:ascii="仿宋" w:hAnsi="仿宋" w:eastAsia="仿宋" w:cs="仿宋"/>
          <w:color w:val="auto"/>
          <w:szCs w:val="24"/>
          <w:highlight w:val="none"/>
        </w:rPr>
      </w:pPr>
      <w:bookmarkStart w:id="263" w:name="_Toc19046"/>
      <w:bookmarkStart w:id="264" w:name="_Toc3972"/>
      <w:bookmarkStart w:id="265" w:name="_Toc17823"/>
      <w:bookmarkStart w:id="266" w:name="_Toc19516"/>
      <w:bookmarkStart w:id="267" w:name="_Toc10585"/>
      <w:bookmarkStart w:id="268" w:name="_Toc25757"/>
      <w:bookmarkStart w:id="269" w:name="_Toc1527"/>
      <w:bookmarkStart w:id="270" w:name="_Toc11932"/>
      <w:bookmarkStart w:id="271" w:name="_Toc2512"/>
      <w:r>
        <w:rPr>
          <w:rFonts w:hint="eastAsia" w:ascii="仿宋" w:hAnsi="仿宋" w:eastAsia="仿宋" w:cs="仿宋"/>
          <w:color w:val="auto"/>
          <w:szCs w:val="24"/>
          <w:highlight w:val="none"/>
        </w:rPr>
        <w:t>签订合同</w:t>
      </w:r>
      <w:bookmarkEnd w:id="263"/>
      <w:bookmarkEnd w:id="264"/>
      <w:bookmarkEnd w:id="265"/>
      <w:bookmarkEnd w:id="266"/>
      <w:bookmarkEnd w:id="267"/>
      <w:bookmarkEnd w:id="268"/>
      <w:bookmarkEnd w:id="269"/>
      <w:bookmarkEnd w:id="270"/>
      <w:bookmarkEnd w:id="271"/>
    </w:p>
    <w:p>
      <w:pPr>
        <w:numPr>
          <w:ilvl w:val="0"/>
          <w:numId w:val="0"/>
        </w:numPr>
        <w:spacing w:line="440" w:lineRule="exact"/>
        <w:ind w:left="420" w:left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2.1</w:t>
      </w:r>
      <w:r>
        <w:rPr>
          <w:rFonts w:hint="eastAsia" w:ascii="仿宋" w:hAnsi="仿宋" w:eastAsia="仿宋" w:cs="仿宋"/>
          <w:color w:val="auto"/>
          <w:szCs w:val="21"/>
          <w:highlight w:val="none"/>
        </w:rPr>
        <w:t xml:space="preserve"> 中标候选人收到中标通知书后，按比选文件、响应文件及有关澄清承诺书的要求与招标人签订合同。</w:t>
      </w:r>
    </w:p>
    <w:p>
      <w:pPr>
        <w:numPr>
          <w:ilvl w:val="0"/>
          <w:numId w:val="0"/>
        </w:numPr>
        <w:spacing w:line="440" w:lineRule="exact"/>
        <w:ind w:left="420" w:left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lang w:val="en-US" w:eastAsia="zh-CN"/>
        </w:rPr>
        <w:t>2.2</w:t>
      </w:r>
      <w:r>
        <w:rPr>
          <w:rFonts w:hint="eastAsia" w:ascii="仿宋" w:hAnsi="仿宋" w:eastAsia="仿宋" w:cs="仿宋"/>
          <w:color w:val="auto"/>
          <w:szCs w:val="21"/>
          <w:highlight w:val="none"/>
        </w:rPr>
        <w:t xml:space="preserve"> 中标候选人因不可抗力或者自身原因不能履行合同的，招标人可以与排位在中标候选人之后第一位的中标候选人签订合同，以此类推；或重新开展</w:t>
      </w:r>
      <w:r>
        <w:rPr>
          <w:rFonts w:hint="eastAsia" w:ascii="仿宋" w:hAnsi="仿宋" w:eastAsia="仿宋" w:cs="仿宋"/>
          <w:color w:val="auto"/>
          <w:szCs w:val="21"/>
          <w:highlight w:val="none"/>
          <w:lang w:val="en-US" w:eastAsia="zh-CN"/>
        </w:rPr>
        <w:t>招标</w:t>
      </w:r>
      <w:r>
        <w:rPr>
          <w:rFonts w:hint="eastAsia" w:ascii="仿宋" w:hAnsi="仿宋" w:eastAsia="仿宋" w:cs="仿宋"/>
          <w:color w:val="auto"/>
          <w:szCs w:val="21"/>
          <w:highlight w:val="none"/>
        </w:rPr>
        <w:t>活动。拒绝签订合同的中标候选人不得参加对本项目重新开展的</w:t>
      </w:r>
      <w:r>
        <w:rPr>
          <w:rFonts w:hint="eastAsia" w:ascii="仿宋" w:hAnsi="仿宋" w:eastAsia="仿宋" w:cs="仿宋"/>
          <w:color w:val="auto"/>
          <w:szCs w:val="21"/>
          <w:highlight w:val="none"/>
          <w:lang w:val="en-US" w:eastAsia="zh-CN"/>
        </w:rPr>
        <w:t>招标</w:t>
      </w:r>
      <w:r>
        <w:rPr>
          <w:rFonts w:hint="eastAsia" w:ascii="仿宋" w:hAnsi="仿宋" w:eastAsia="仿宋" w:cs="仿宋"/>
          <w:color w:val="auto"/>
          <w:szCs w:val="21"/>
          <w:highlight w:val="none"/>
        </w:rPr>
        <w:t>活动。</w:t>
      </w:r>
    </w:p>
    <w:p>
      <w:pPr>
        <w:pStyle w:val="4"/>
        <w:numPr>
          <w:ilvl w:val="0"/>
          <w:numId w:val="18"/>
        </w:numPr>
        <w:tabs>
          <w:tab w:val="clear" w:pos="1588"/>
        </w:tabs>
        <w:spacing w:before="0" w:after="0" w:line="460" w:lineRule="exact"/>
        <w:ind w:left="587"/>
        <w:jc w:val="both"/>
        <w:rPr>
          <w:rFonts w:hint="eastAsia" w:ascii="仿宋" w:hAnsi="仿宋" w:eastAsia="仿宋" w:cs="仿宋"/>
          <w:color w:val="auto"/>
          <w:szCs w:val="24"/>
          <w:highlight w:val="none"/>
        </w:rPr>
      </w:pPr>
      <w:bookmarkStart w:id="272" w:name="_Toc31142"/>
      <w:bookmarkStart w:id="273" w:name="_Toc17514"/>
      <w:bookmarkStart w:id="274" w:name="_Toc14719"/>
      <w:bookmarkStart w:id="275" w:name="_Toc18050"/>
      <w:bookmarkStart w:id="276" w:name="_Toc14055"/>
      <w:bookmarkStart w:id="277" w:name="_Toc17314"/>
      <w:bookmarkStart w:id="278" w:name="_Toc16228"/>
      <w:bookmarkStart w:id="279" w:name="_Toc15762"/>
      <w:bookmarkStart w:id="280" w:name="_Toc30314"/>
      <w:r>
        <w:rPr>
          <w:rFonts w:hint="eastAsia" w:ascii="仿宋" w:hAnsi="仿宋" w:eastAsia="仿宋" w:cs="仿宋"/>
          <w:color w:val="auto"/>
          <w:szCs w:val="24"/>
          <w:highlight w:val="none"/>
        </w:rPr>
        <w:t>履约保证金</w:t>
      </w:r>
      <w:bookmarkEnd w:id="272"/>
      <w:bookmarkEnd w:id="273"/>
      <w:bookmarkEnd w:id="274"/>
      <w:bookmarkEnd w:id="275"/>
      <w:bookmarkEnd w:id="276"/>
      <w:bookmarkEnd w:id="277"/>
      <w:bookmarkEnd w:id="278"/>
      <w:bookmarkEnd w:id="279"/>
      <w:r>
        <w:rPr>
          <w:rFonts w:hint="eastAsia" w:ascii="仿宋" w:hAnsi="仿宋" w:eastAsia="仿宋" w:cs="仿宋"/>
          <w:color w:val="auto"/>
          <w:szCs w:val="24"/>
          <w:highlight w:val="none"/>
          <w:lang w:eastAsia="zh-CN"/>
        </w:rPr>
        <w:t>（</w:t>
      </w:r>
      <w:r>
        <w:rPr>
          <w:rFonts w:hint="eastAsia" w:ascii="仿宋" w:hAnsi="仿宋" w:eastAsia="仿宋" w:cs="仿宋"/>
          <w:color w:val="auto"/>
          <w:szCs w:val="24"/>
          <w:highlight w:val="none"/>
          <w:lang w:val="en-US" w:eastAsia="zh-CN"/>
        </w:rPr>
        <w:t>本项目不涉及</w:t>
      </w:r>
      <w:r>
        <w:rPr>
          <w:rFonts w:hint="eastAsia" w:ascii="仿宋" w:hAnsi="仿宋" w:eastAsia="仿宋" w:cs="仿宋"/>
          <w:color w:val="auto"/>
          <w:szCs w:val="24"/>
          <w:highlight w:val="none"/>
          <w:lang w:eastAsia="zh-CN"/>
        </w:rPr>
        <w:t>）</w:t>
      </w:r>
      <w:bookmarkEnd w:id="280"/>
    </w:p>
    <w:p>
      <w:pPr>
        <w:pStyle w:val="3"/>
        <w:numPr>
          <w:ilvl w:val="0"/>
          <w:numId w:val="0"/>
        </w:numPr>
        <w:spacing w:before="0" w:after="0" w:line="460" w:lineRule="exact"/>
        <w:ind w:left="425"/>
        <w:rPr>
          <w:rFonts w:hint="eastAsia" w:ascii="仿宋" w:hAnsi="仿宋" w:eastAsia="仿宋" w:cs="仿宋"/>
          <w:color w:val="auto"/>
          <w:szCs w:val="28"/>
          <w:highlight w:val="none"/>
        </w:rPr>
      </w:pPr>
      <w:bookmarkStart w:id="281" w:name="_Toc6757"/>
      <w:bookmarkStart w:id="282" w:name="_Toc12266"/>
      <w:bookmarkStart w:id="283" w:name="_Toc13463"/>
      <w:bookmarkStart w:id="284" w:name="_Toc31586"/>
      <w:bookmarkStart w:id="285" w:name="_Toc9866"/>
      <w:bookmarkStart w:id="286" w:name="_Toc25522"/>
      <w:bookmarkStart w:id="287" w:name="_Toc29379"/>
      <w:r>
        <w:rPr>
          <w:rFonts w:hint="eastAsia" w:ascii="仿宋" w:hAnsi="仿宋" w:eastAsia="仿宋" w:cs="仿宋"/>
          <w:color w:val="auto"/>
          <w:szCs w:val="28"/>
          <w:highlight w:val="none"/>
        </w:rPr>
        <w:t>七、其他事项</w:t>
      </w:r>
      <w:bookmarkEnd w:id="281"/>
      <w:bookmarkEnd w:id="282"/>
      <w:bookmarkEnd w:id="283"/>
      <w:bookmarkEnd w:id="284"/>
      <w:bookmarkEnd w:id="285"/>
      <w:bookmarkEnd w:id="286"/>
      <w:bookmarkEnd w:id="287"/>
    </w:p>
    <w:p>
      <w:pPr>
        <w:pStyle w:val="4"/>
        <w:numPr>
          <w:ilvl w:val="0"/>
          <w:numId w:val="19"/>
        </w:numPr>
        <w:tabs>
          <w:tab w:val="clear" w:pos="1588"/>
        </w:tabs>
        <w:spacing w:before="0" w:after="0" w:line="460" w:lineRule="exact"/>
        <w:ind w:left="587"/>
        <w:jc w:val="both"/>
        <w:rPr>
          <w:rFonts w:hint="eastAsia" w:ascii="仿宋" w:hAnsi="仿宋" w:eastAsia="仿宋" w:cs="仿宋"/>
          <w:color w:val="auto"/>
          <w:szCs w:val="24"/>
          <w:highlight w:val="none"/>
        </w:rPr>
      </w:pPr>
      <w:bookmarkStart w:id="288" w:name="_Toc1861"/>
      <w:bookmarkStart w:id="289" w:name="_Toc21776"/>
      <w:bookmarkStart w:id="290" w:name="_Toc32606"/>
      <w:bookmarkStart w:id="291" w:name="_Toc13123"/>
      <w:bookmarkStart w:id="292" w:name="_Toc17203"/>
      <w:bookmarkStart w:id="293" w:name="_Toc12824"/>
      <w:bookmarkStart w:id="294" w:name="_Toc5621"/>
      <w:bookmarkStart w:id="295" w:name="_Toc9393"/>
      <w:bookmarkStart w:id="296" w:name="_Toc19388"/>
      <w:r>
        <w:rPr>
          <w:rFonts w:hint="eastAsia" w:ascii="仿宋" w:hAnsi="仿宋" w:eastAsia="仿宋" w:cs="仿宋"/>
          <w:color w:val="auto"/>
          <w:szCs w:val="24"/>
          <w:highlight w:val="none"/>
        </w:rPr>
        <w:t>质疑和投诉</w:t>
      </w:r>
      <w:bookmarkEnd w:id="288"/>
      <w:bookmarkEnd w:id="289"/>
      <w:bookmarkEnd w:id="290"/>
      <w:bookmarkEnd w:id="291"/>
      <w:bookmarkEnd w:id="292"/>
      <w:bookmarkEnd w:id="293"/>
      <w:bookmarkEnd w:id="294"/>
      <w:bookmarkEnd w:id="295"/>
      <w:bookmarkEnd w:id="296"/>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投标人提供的质疑书（如材料中有外文资料应同时附上中文译本）应当包括以下主要内容：</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（1）投标人的姓名或者名称、地址、邮编、联系人及联系电话；</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（2）质疑项目的名称、编号；</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（3）具体、明确的质疑事项和与质疑事项相关的请求；</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（4）事实依据；</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（5）必要的法律依据；</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（6）提出质疑的日期。</w:t>
      </w:r>
    </w:p>
    <w:p>
      <w:pPr>
        <w:spacing w:line="440" w:lineRule="exact"/>
        <w:ind w:firstLine="420" w:firstLineChars="2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投标人为自然人的，应当由本人签字；投标人为法人或者其他组织的，应当由法定代表人、主要负责人，或者其授权代表签字或者盖章，并加盖公章。</w:t>
      </w:r>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pPr>
        <w:numPr>
          <w:ilvl w:val="1"/>
          <w:numId w:val="20"/>
        </w:numPr>
        <w:spacing w:line="440" w:lineRule="exact"/>
        <w:ind w:left="567" w:leftChars="0" w:hanging="567" w:firstLineChars="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招标人将在收到投标人的书面质疑后七个工作日内做出答复，但答复的内容不涉及商业秘密。</w:t>
      </w:r>
    </w:p>
    <w:p>
      <w:pPr>
        <w:pStyle w:val="4"/>
        <w:numPr>
          <w:ilvl w:val="0"/>
          <w:numId w:val="19"/>
        </w:numPr>
        <w:tabs>
          <w:tab w:val="clear" w:pos="1588"/>
        </w:tabs>
        <w:spacing w:before="0" w:after="0" w:line="460" w:lineRule="exact"/>
        <w:ind w:left="587"/>
        <w:jc w:val="both"/>
        <w:rPr>
          <w:rFonts w:hint="eastAsia" w:ascii="仿宋" w:hAnsi="仿宋" w:eastAsia="仿宋" w:cs="仿宋"/>
          <w:color w:val="auto"/>
          <w:szCs w:val="24"/>
          <w:highlight w:val="none"/>
          <w:lang w:val="en-US" w:eastAsia="zh-CN"/>
        </w:rPr>
      </w:pPr>
      <w:bookmarkStart w:id="297" w:name="_Toc9162"/>
      <w:r>
        <w:rPr>
          <w:rFonts w:hint="eastAsia" w:ascii="仿宋" w:hAnsi="仿宋" w:eastAsia="仿宋" w:cs="仿宋"/>
          <w:color w:val="auto"/>
          <w:szCs w:val="24"/>
          <w:highlight w:val="none"/>
          <w:lang w:val="en-US" w:eastAsia="zh-CN"/>
        </w:rPr>
        <w:t>需要补充的其他内容</w:t>
      </w:r>
      <w:bookmarkEnd w:id="297"/>
    </w:p>
    <w:p>
      <w:pPr>
        <w:spacing w:line="440" w:lineRule="exact"/>
        <w:ind w:firstLine="420" w:firstLineChars="200"/>
        <w:jc w:val="left"/>
        <w:rPr>
          <w:rFonts w:hint="eastAsia" w:ascii="仿宋" w:hAnsi="仿宋" w:eastAsia="仿宋" w:cs="仿宋"/>
          <w:color w:val="auto"/>
          <w:szCs w:val="21"/>
          <w:highlight w:val="none"/>
          <w:lang w:val="en-US" w:eastAsia="zh-CN"/>
        </w:rPr>
      </w:pPr>
      <w:r>
        <w:rPr>
          <w:rFonts w:hint="eastAsia" w:ascii="仿宋" w:hAnsi="仿宋" w:eastAsia="仿宋" w:cs="仿宋"/>
          <w:color w:val="auto"/>
          <w:szCs w:val="21"/>
          <w:highlight w:val="none"/>
        </w:rPr>
        <w:t>需要补充的其他内容：见“投标人须知前附表”。</w:t>
      </w:r>
    </w:p>
    <w:p>
      <w:pPr>
        <w:spacing w:line="600" w:lineRule="exact"/>
        <w:jc w:val="center"/>
        <w:outlineLvl w:val="0"/>
        <w:rPr>
          <w:rFonts w:hint="eastAsia" w:ascii="仿宋" w:hAnsi="仿宋" w:eastAsia="仿宋" w:cs="仿宋"/>
          <w:b/>
          <w:bCs/>
          <w:color w:val="auto"/>
          <w:kern w:val="0"/>
          <w:sz w:val="52"/>
          <w:szCs w:val="32"/>
          <w:highlight w:val="none"/>
        </w:rPr>
      </w:pPr>
      <w:r>
        <w:rPr>
          <w:rFonts w:hint="eastAsia" w:ascii="仿宋" w:hAnsi="仿宋" w:eastAsia="仿宋" w:cs="仿宋"/>
          <w:color w:val="auto"/>
          <w:sz w:val="24"/>
          <w:highlight w:val="none"/>
        </w:rPr>
        <w:br w:type="page"/>
      </w:r>
      <w:bookmarkStart w:id="298" w:name="_Toc26684"/>
      <w:bookmarkStart w:id="299" w:name="_Toc18181"/>
      <w:bookmarkStart w:id="300" w:name="_Toc432197798"/>
      <w:bookmarkStart w:id="301" w:name="_Toc4246"/>
      <w:r>
        <w:rPr>
          <w:rFonts w:hint="eastAsia" w:ascii="仿宋" w:hAnsi="仿宋" w:eastAsia="仿宋" w:cs="仿宋"/>
          <w:b/>
          <w:bCs/>
          <w:color w:val="auto"/>
          <w:kern w:val="0"/>
          <w:sz w:val="52"/>
          <w:szCs w:val="32"/>
          <w:highlight w:val="none"/>
        </w:rPr>
        <w:t xml:space="preserve">第三章  </w:t>
      </w:r>
      <w:bookmarkEnd w:id="298"/>
      <w:bookmarkEnd w:id="299"/>
      <w:bookmarkEnd w:id="300"/>
      <w:bookmarkStart w:id="302" w:name="_Toc14430"/>
      <w:bookmarkStart w:id="303" w:name="_Toc27742"/>
      <w:bookmarkStart w:id="304" w:name="_Toc32245"/>
      <w:bookmarkStart w:id="305" w:name="_Toc8577"/>
      <w:bookmarkStart w:id="306" w:name="_Toc13915"/>
      <w:r>
        <w:rPr>
          <w:rFonts w:hint="eastAsia" w:ascii="仿宋" w:hAnsi="仿宋" w:eastAsia="仿宋" w:cs="仿宋"/>
          <w:b/>
          <w:bCs/>
          <w:color w:val="auto"/>
          <w:kern w:val="0"/>
          <w:sz w:val="52"/>
          <w:szCs w:val="32"/>
          <w:highlight w:val="none"/>
        </w:rPr>
        <w:t>响应文件格式</w:t>
      </w:r>
      <w:bookmarkEnd w:id="301"/>
    </w:p>
    <w:bookmarkEnd w:id="302"/>
    <w:bookmarkEnd w:id="303"/>
    <w:bookmarkEnd w:id="304"/>
    <w:bookmarkEnd w:id="305"/>
    <w:bookmarkEnd w:id="306"/>
    <w:p>
      <w:pPr>
        <w:pStyle w:val="13"/>
        <w:rPr>
          <w:rFonts w:hint="eastAsia" w:ascii="仿宋" w:hAnsi="仿宋" w:eastAsia="仿宋" w:cs="仿宋"/>
          <w:color w:val="auto"/>
          <w:highlight w:val="none"/>
        </w:rPr>
      </w:pPr>
    </w:p>
    <w:p>
      <w:pPr>
        <w:spacing w:line="1100" w:lineRule="exact"/>
        <w:jc w:val="center"/>
        <w:rPr>
          <w:rFonts w:hint="eastAsia" w:ascii="仿宋" w:hAnsi="仿宋" w:eastAsia="仿宋" w:cs="仿宋"/>
          <w:b/>
          <w:color w:val="auto"/>
          <w:sz w:val="56"/>
          <w:szCs w:val="56"/>
          <w:highlight w:val="none"/>
        </w:rPr>
        <w:sectPr>
          <w:footerReference r:id="rId6" w:type="default"/>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 w:val="56"/>
          <w:szCs w:val="56"/>
          <w:highlight w:val="none"/>
        </w:rPr>
        <w:t xml:space="preserve"> </w:t>
      </w:r>
    </w:p>
    <w:p>
      <w:pPr>
        <w:spacing w:line="360" w:lineRule="auto"/>
        <w:jc w:val="center"/>
        <w:rPr>
          <w:rFonts w:hint="eastAsia" w:ascii="仿宋" w:hAnsi="仿宋" w:eastAsia="仿宋" w:cs="仿宋"/>
          <w:b/>
          <w:color w:val="auto"/>
          <w:sz w:val="56"/>
          <w:szCs w:val="56"/>
          <w:highlight w:val="none"/>
          <w:lang w:eastAsia="zh-CN"/>
        </w:rPr>
      </w:pPr>
      <w:r>
        <w:rPr>
          <w:rFonts w:hint="eastAsia" w:ascii="仿宋" w:hAnsi="仿宋" w:eastAsia="仿宋" w:cs="仿宋"/>
          <w:b/>
          <w:color w:val="auto"/>
          <w:sz w:val="56"/>
          <w:szCs w:val="56"/>
          <w:highlight w:val="none"/>
          <w:lang w:eastAsia="zh-CN"/>
        </w:rPr>
        <w:t xml:space="preserve"> 云南师范大学附属世纪金源学校</w:t>
      </w:r>
    </w:p>
    <w:p>
      <w:pPr>
        <w:spacing w:line="360" w:lineRule="auto"/>
        <w:jc w:val="center"/>
        <w:rPr>
          <w:rFonts w:hint="eastAsia" w:ascii="仿宋" w:hAnsi="仿宋" w:eastAsia="仿宋" w:cs="仿宋"/>
          <w:color w:val="auto"/>
          <w:sz w:val="24"/>
          <w:highlight w:val="none"/>
        </w:rPr>
      </w:pPr>
      <w:r>
        <w:rPr>
          <w:rFonts w:hint="eastAsia" w:ascii="仿宋" w:hAnsi="仿宋" w:eastAsia="仿宋" w:cs="仿宋"/>
          <w:b/>
          <w:color w:val="auto"/>
          <w:sz w:val="56"/>
          <w:szCs w:val="56"/>
          <w:highlight w:val="none"/>
          <w:lang w:eastAsia="zh-CN"/>
        </w:rPr>
        <w:t>零星修缮项目</w:t>
      </w:r>
    </w:p>
    <w:p>
      <w:pPr>
        <w:pStyle w:val="8"/>
        <w:spacing w:before="156"/>
        <w:ind w:firstLine="480"/>
        <w:rPr>
          <w:rFonts w:hint="eastAsia" w:ascii="仿宋" w:hAnsi="仿宋" w:eastAsia="仿宋" w:cs="仿宋"/>
          <w:color w:val="auto"/>
          <w:sz w:val="24"/>
          <w:highlight w:val="none"/>
        </w:rPr>
      </w:pPr>
    </w:p>
    <w:p>
      <w:pPr>
        <w:pStyle w:val="8"/>
        <w:spacing w:before="156"/>
        <w:ind w:firstLine="480"/>
        <w:rPr>
          <w:rFonts w:hint="eastAsia" w:ascii="仿宋" w:hAnsi="仿宋" w:eastAsia="仿宋" w:cs="仿宋"/>
          <w:color w:val="auto"/>
          <w:sz w:val="24"/>
          <w:highlight w:val="none"/>
        </w:rPr>
      </w:pPr>
    </w:p>
    <w:p>
      <w:pPr>
        <w:pStyle w:val="8"/>
        <w:spacing w:before="156"/>
        <w:ind w:firstLine="480"/>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pStyle w:val="19"/>
        <w:spacing w:line="360" w:lineRule="auto"/>
        <w:jc w:val="center"/>
        <w:rPr>
          <w:rFonts w:hint="eastAsia" w:ascii="仿宋" w:hAnsi="仿宋" w:eastAsia="仿宋" w:cs="仿宋"/>
          <w:b/>
          <w:color w:val="auto"/>
          <w:sz w:val="84"/>
          <w:szCs w:val="84"/>
          <w:highlight w:val="none"/>
        </w:rPr>
      </w:pPr>
      <w:r>
        <w:rPr>
          <w:rFonts w:hint="eastAsia" w:ascii="仿宋" w:hAnsi="仿宋" w:eastAsia="仿宋" w:cs="仿宋"/>
          <w:b/>
          <w:color w:val="auto"/>
          <w:sz w:val="84"/>
          <w:szCs w:val="84"/>
          <w:highlight w:val="none"/>
        </w:rPr>
        <w:t>响 应 文 件</w:t>
      </w:r>
    </w:p>
    <w:p>
      <w:pPr>
        <w:pStyle w:val="19"/>
        <w:spacing w:line="360" w:lineRule="auto"/>
        <w:jc w:val="center"/>
        <w:rPr>
          <w:rFonts w:hint="eastAsia" w:ascii="仿宋" w:hAnsi="仿宋" w:eastAsia="仿宋" w:cs="仿宋"/>
          <w:b/>
          <w:color w:val="auto"/>
          <w:sz w:val="36"/>
          <w:szCs w:val="36"/>
          <w:highlight w:val="none"/>
          <w:u w:val="single"/>
          <w:lang w:eastAsia="zh-CN"/>
        </w:rPr>
      </w:pPr>
      <w:r>
        <w:rPr>
          <w:rFonts w:hint="eastAsia" w:ascii="仿宋" w:hAnsi="仿宋" w:eastAsia="仿宋" w:cs="仿宋"/>
          <w:b/>
          <w:color w:val="auto"/>
          <w:sz w:val="36"/>
          <w:szCs w:val="36"/>
          <w:highlight w:val="none"/>
          <w:lang w:eastAsia="zh-CN"/>
        </w:rPr>
        <w:t xml:space="preserve">  </w:t>
      </w: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jc w:val="center"/>
        <w:rPr>
          <w:rFonts w:hint="eastAsia" w:ascii="仿宋" w:hAnsi="仿宋" w:eastAsia="仿宋" w:cs="仿宋"/>
          <w:color w:val="auto"/>
          <w:sz w:val="24"/>
          <w:highlight w:val="none"/>
        </w:rPr>
      </w:pPr>
    </w:p>
    <w:p>
      <w:pPr>
        <w:spacing w:line="360" w:lineRule="auto"/>
        <w:rPr>
          <w:rFonts w:hint="eastAsia" w:ascii="仿宋" w:hAnsi="仿宋" w:eastAsia="仿宋" w:cs="仿宋"/>
          <w:color w:val="auto"/>
          <w:sz w:val="24"/>
          <w:highlight w:val="none"/>
        </w:rPr>
      </w:pPr>
    </w:p>
    <w:p>
      <w:pPr>
        <w:spacing w:line="360" w:lineRule="auto"/>
        <w:rPr>
          <w:rFonts w:hint="eastAsia" w:ascii="仿宋" w:hAnsi="仿宋" w:eastAsia="仿宋" w:cs="仿宋"/>
          <w:color w:val="auto"/>
          <w:sz w:val="24"/>
          <w:highlight w:val="none"/>
        </w:rPr>
      </w:pPr>
    </w:p>
    <w:p>
      <w:pPr>
        <w:spacing w:line="900" w:lineRule="exact"/>
        <w:ind w:firstLine="1980" w:firstLineChars="825"/>
        <w:rPr>
          <w:rFonts w:hint="eastAsia" w:ascii="仿宋" w:hAnsi="仿宋" w:eastAsia="仿宋" w:cs="仿宋"/>
          <w:color w:val="auto"/>
          <w:sz w:val="24"/>
          <w:highlight w:val="none"/>
        </w:rPr>
      </w:pPr>
      <w:r>
        <w:rPr>
          <w:rFonts w:hint="eastAsia" w:ascii="仿宋" w:hAnsi="仿宋" w:eastAsia="仿宋" w:cs="仿宋"/>
          <w:color w:val="auto"/>
          <w:sz w:val="24"/>
          <w:highlight w:val="none"/>
        </w:rPr>
        <w:t>投标人：</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（盖单位公章）</w:t>
      </w:r>
    </w:p>
    <w:p>
      <w:pPr>
        <w:spacing w:line="900" w:lineRule="exact"/>
        <w:ind w:firstLine="1980" w:firstLineChars="825"/>
        <w:rPr>
          <w:rFonts w:hint="eastAsia" w:ascii="仿宋" w:hAnsi="仿宋" w:eastAsia="仿宋" w:cs="仿宋"/>
          <w:color w:val="auto"/>
          <w:sz w:val="24"/>
          <w:highlight w:val="none"/>
        </w:rPr>
      </w:pPr>
      <w:r>
        <w:rPr>
          <w:rFonts w:hint="eastAsia" w:ascii="仿宋" w:hAnsi="仿宋" w:eastAsia="仿宋" w:cs="仿宋"/>
          <w:color w:val="auto"/>
          <w:sz w:val="24"/>
          <w:highlight w:val="none"/>
        </w:rPr>
        <w:t>法定代表人或其委托代理人：</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（签字或盖章）</w:t>
      </w:r>
    </w:p>
    <w:p>
      <w:pPr>
        <w:spacing w:line="900" w:lineRule="exact"/>
        <w:ind w:firstLine="2340" w:firstLineChars="975"/>
        <w:rPr>
          <w:rFonts w:hint="eastAsia" w:ascii="仿宋" w:hAnsi="仿宋" w:eastAsia="仿宋" w:cs="仿宋"/>
          <w:color w:val="auto"/>
          <w:sz w:val="24"/>
          <w:highlight w:val="none"/>
        </w:rPr>
      </w:pP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月</w:t>
      </w:r>
      <w:r>
        <w:rPr>
          <w:rFonts w:hint="eastAsia" w:ascii="仿宋" w:hAnsi="仿宋" w:eastAsia="仿宋" w:cs="仿宋"/>
          <w:color w:val="auto"/>
          <w:sz w:val="24"/>
          <w:highlight w:val="none"/>
          <w:u w:val="single"/>
        </w:rPr>
        <w:t xml:space="preserve">       </w:t>
      </w:r>
      <w:r>
        <w:rPr>
          <w:rFonts w:hint="eastAsia" w:ascii="仿宋" w:hAnsi="仿宋" w:eastAsia="仿宋" w:cs="仿宋"/>
          <w:color w:val="auto"/>
          <w:sz w:val="24"/>
          <w:highlight w:val="none"/>
        </w:rPr>
        <w:t>日</w:t>
      </w:r>
    </w:p>
    <w:p>
      <w:pPr>
        <w:rPr>
          <w:rFonts w:hint="eastAsia" w:ascii="仿宋" w:hAnsi="仿宋" w:eastAsia="仿宋" w:cs="仿宋"/>
          <w:color w:val="auto"/>
          <w:highlight w:val="none"/>
        </w:rPr>
      </w:pPr>
      <w:r>
        <w:rPr>
          <w:rFonts w:hint="eastAsia" w:ascii="仿宋" w:hAnsi="仿宋" w:eastAsia="仿宋" w:cs="仿宋"/>
          <w:color w:val="auto"/>
          <w:highlight w:val="none"/>
        </w:rPr>
        <w:br w:type="page"/>
      </w:r>
    </w:p>
    <w:tbl>
      <w:tblPr>
        <w:tblStyle w:val="37"/>
        <w:tblW w:w="95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1100"/>
        <w:gridCol w:w="2047"/>
        <w:gridCol w:w="624"/>
        <w:gridCol w:w="672"/>
        <w:gridCol w:w="1056"/>
        <w:gridCol w:w="1002"/>
        <w:gridCol w:w="1416"/>
        <w:gridCol w:w="9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1" w:hRule="atLeast"/>
        </w:trPr>
        <w:tc>
          <w:tcPr>
            <w:tcW w:w="9520" w:type="dxa"/>
            <w:gridSpan w:val="9"/>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创艺简楷体" w:hAnsi="创艺简楷体" w:eastAsia="创艺简楷体" w:cs="创艺简楷体"/>
                <w:b/>
                <w:bCs/>
                <w:i w:val="0"/>
                <w:iCs w:val="0"/>
                <w:color w:val="000000"/>
                <w:sz w:val="32"/>
                <w:szCs w:val="32"/>
                <w:u w:val="none"/>
              </w:rPr>
            </w:pPr>
            <w:bookmarkStart w:id="307" w:name="_Toc24395"/>
            <w:bookmarkStart w:id="308" w:name="_Toc7489"/>
            <w:bookmarkStart w:id="309" w:name="_Toc7178"/>
            <w:bookmarkStart w:id="310" w:name="_Toc5"/>
            <w:bookmarkStart w:id="311" w:name="_Toc32739"/>
            <w:bookmarkStart w:id="312" w:name="_Toc28245"/>
            <w:r>
              <w:rPr>
                <w:rFonts w:hint="default" w:ascii="创艺简楷体" w:hAnsi="创艺简楷体" w:eastAsia="创艺简楷体" w:cs="创艺简楷体"/>
                <w:b/>
                <w:bCs/>
                <w:i w:val="0"/>
                <w:iCs w:val="0"/>
                <w:color w:val="000000"/>
                <w:kern w:val="0"/>
                <w:sz w:val="32"/>
                <w:szCs w:val="32"/>
                <w:u w:val="none"/>
                <w:lang w:val="en-US" w:eastAsia="zh-CN" w:bidi="ar"/>
              </w:rPr>
              <w:t>云南师范大学附属世纪金源学校零星修缮项目报价表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1" w:hRule="atLeast"/>
        </w:trPr>
        <w:tc>
          <w:tcPr>
            <w:tcW w:w="9520" w:type="dxa"/>
            <w:gridSpan w:val="9"/>
            <w:vMerge w:val="continue"/>
            <w:tcBorders>
              <w:top w:val="nil"/>
              <w:left w:val="nil"/>
              <w:bottom w:val="nil"/>
              <w:right w:val="nil"/>
            </w:tcBorders>
            <w:shd w:val="clear" w:color="auto" w:fill="auto"/>
            <w:noWrap/>
            <w:vAlign w:val="center"/>
          </w:tcPr>
          <w:p>
            <w:pPr>
              <w:jc w:val="center"/>
              <w:rPr>
                <w:rFonts w:hint="default" w:ascii="创艺简楷体" w:hAnsi="创艺简楷体" w:eastAsia="创艺简楷体" w:cs="创艺简楷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3"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序号</w:t>
            </w:r>
          </w:p>
        </w:tc>
        <w:tc>
          <w:tcPr>
            <w:tcW w:w="11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名称</w:t>
            </w:r>
          </w:p>
        </w:tc>
        <w:tc>
          <w:tcPr>
            <w:tcW w:w="24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特征描述</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计量单位</w:t>
            </w:r>
          </w:p>
        </w:tc>
        <w:tc>
          <w:tcPr>
            <w:tcW w:w="6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预估</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工程量</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控制单价</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综合单价报价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小计（元）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11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24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6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小学部栏杆刷漆</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①高1.2m×长6.8m；</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②除锈打磨，刷一遍除锈底漆，再刷白色氟碳漆。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95.00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栏杆已锈蚀立柱脚检修加固</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①在现有立住脚正下方开孔；</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②在立柱中插入镀锌直径25mm水管；</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③焊接固定。</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通道门刷漆</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1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4</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一楼楼梯口门刷漆</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①高3.7m×长3.7m，除锈打磨；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楼梯扶手修复</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①打磨铲除原有漆面；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③原子灰找平，打磨；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④面层木器漆。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6</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幼儿园木爬梯及摆放柜</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③刷面漆。</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45.00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7</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漏水点</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①找出漏水位置；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②润泽楼漏水点采用防水材料处理；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③致远楼采用引流方式处理。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点位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350.00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学生公寓卫生间</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①破除地面砖，找到漏水或堵塞位置；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②开挖至外部污水井，110pvc连接排放；</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③细砂回填至管顶15cm，原土回填至完成面。</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2800.00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致远楼卫生间</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①破除地面砖，查找并找到堵塞位置；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②查找问题更换管件；</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卫生间洗手台</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①更换洗手台台面；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②长1.9m×宽0.6m。</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卫生间地面砖</w:t>
            </w:r>
          </w:p>
        </w:tc>
        <w:tc>
          <w:tcPr>
            <w:tcW w:w="24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①破除褪色老旧地砖；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②更换相同规格地砖；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③垃圾清运。</w:t>
            </w:r>
          </w:p>
        </w:tc>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120.00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总报价（含税）</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6" w:hRule="atLeast"/>
        </w:trPr>
        <w:tc>
          <w:tcPr>
            <w:tcW w:w="9520"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1.综合单价为包干单价，包含人工费、主/辅材料费、利润、措施费、机械费、 规费、管理费、运输费、搬运费等一切费用。相关风险及不可预见因素，请报价方自行考量。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9520" w:type="dxa"/>
            <w:gridSpan w:val="9"/>
            <w:tcBorders>
              <w:top w:val="nil"/>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2.若投标方对此施工工艺存在异议，请及时书面提出，否则将视为默认接受此施工工艺处理，质保期内相关质量问题均有投标方负责免费处理。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7" w:hRule="atLeast"/>
        </w:trPr>
        <w:tc>
          <w:tcPr>
            <w:tcW w:w="9520" w:type="dxa"/>
            <w:gridSpan w:val="9"/>
            <w:tcBorders>
              <w:top w:val="nil"/>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3.现场情况请投标方自行提前踏勘、核实。踏勘联系人：胡老师，联系电话：0871-67217019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4" w:hRule="atLeast"/>
        </w:trPr>
        <w:tc>
          <w:tcPr>
            <w:tcW w:w="9520" w:type="dxa"/>
            <w:gridSpan w:val="9"/>
            <w:vMerge w:val="restart"/>
            <w:tcBorders>
              <w:top w:val="nil"/>
              <w:left w:val="single" w:color="000000" w:sz="4" w:space="0"/>
              <w:bottom w:val="nil"/>
              <w:right w:val="nil"/>
            </w:tcBorders>
            <w:shd w:val="clear" w:color="auto" w:fill="auto"/>
            <w:vAlign w:val="bottom"/>
          </w:tcPr>
          <w:p>
            <w:pPr>
              <w:keepNext w:val="0"/>
              <w:keepLines w:val="0"/>
              <w:widowControl/>
              <w:suppressLineNumbers w:val="0"/>
              <w:jc w:val="left"/>
              <w:textAlignment w:val="bottom"/>
              <w:rPr>
                <w:rFonts w:hint="eastAsia" w:ascii="楷体" w:hAnsi="楷体" w:eastAsia="楷体" w:cs="楷体"/>
                <w:i w:val="0"/>
                <w:iCs w:val="0"/>
                <w:color w:val="000000"/>
                <w:kern w:val="0"/>
                <w:sz w:val="28"/>
                <w:szCs w:val="28"/>
                <w:u w:val="none"/>
                <w:lang w:val="en-US" w:eastAsia="zh-CN" w:bidi="ar"/>
              </w:rPr>
            </w:pPr>
            <w:r>
              <w:rPr>
                <w:rFonts w:hint="eastAsia" w:ascii="楷体" w:hAnsi="楷体" w:eastAsia="楷体" w:cs="楷体"/>
                <w:i w:val="0"/>
                <w:iCs w:val="0"/>
                <w:color w:val="000000"/>
                <w:kern w:val="0"/>
                <w:sz w:val="28"/>
                <w:szCs w:val="28"/>
                <w:u w:val="none"/>
                <w:lang w:val="en-US" w:eastAsia="zh-CN" w:bidi="ar"/>
              </w:rPr>
              <w:t xml:space="preserve">                                </w:t>
            </w:r>
          </w:p>
          <w:p>
            <w:pPr>
              <w:keepNext w:val="0"/>
              <w:keepLines w:val="0"/>
              <w:widowControl/>
              <w:suppressLineNumbers w:val="0"/>
              <w:jc w:val="left"/>
              <w:textAlignment w:val="bottom"/>
              <w:rPr>
                <w:rFonts w:hint="eastAsia" w:ascii="楷体" w:hAnsi="楷体" w:eastAsia="楷体" w:cs="楷体"/>
                <w:i w:val="0"/>
                <w:iCs w:val="0"/>
                <w:color w:val="000000"/>
                <w:kern w:val="0"/>
                <w:sz w:val="28"/>
                <w:szCs w:val="28"/>
                <w:u w:val="none"/>
                <w:lang w:val="en-US" w:eastAsia="zh-CN" w:bidi="ar"/>
              </w:rPr>
            </w:pPr>
            <w:r>
              <w:rPr>
                <w:rFonts w:hint="eastAsia" w:ascii="楷体" w:hAnsi="楷体" w:eastAsia="楷体" w:cs="楷体"/>
                <w:i w:val="0"/>
                <w:iCs w:val="0"/>
                <w:color w:val="000000"/>
                <w:kern w:val="0"/>
                <w:sz w:val="28"/>
                <w:szCs w:val="28"/>
                <w:u w:val="none"/>
                <w:lang w:val="en-US" w:eastAsia="zh-CN" w:bidi="ar"/>
              </w:rPr>
              <w:t xml:space="preserve"> </w:t>
            </w:r>
          </w:p>
          <w:p>
            <w:pPr>
              <w:keepNext w:val="0"/>
              <w:keepLines w:val="0"/>
              <w:widowControl/>
              <w:suppressLineNumbers w:val="0"/>
              <w:ind w:firstLine="4480" w:firstLineChars="1600"/>
              <w:jc w:val="left"/>
              <w:textAlignment w:val="bottom"/>
              <w:rPr>
                <w:rFonts w:hint="eastAsia" w:ascii="楷体" w:hAnsi="楷体" w:eastAsia="楷体" w:cs="楷体"/>
                <w:i w:val="0"/>
                <w:iCs w:val="0"/>
                <w:color w:val="000000"/>
                <w:sz w:val="28"/>
                <w:szCs w:val="28"/>
                <w:u w:val="none"/>
              </w:rPr>
            </w:pPr>
            <w:r>
              <w:rPr>
                <w:rFonts w:hint="eastAsia" w:ascii="楷体" w:hAnsi="楷体" w:eastAsia="楷体" w:cs="楷体"/>
                <w:i w:val="0"/>
                <w:iCs w:val="0"/>
                <w:color w:val="000000"/>
                <w:kern w:val="0"/>
                <w:sz w:val="28"/>
                <w:szCs w:val="28"/>
                <w:u w:val="none"/>
                <w:lang w:val="en-US" w:eastAsia="zh-CN" w:bidi="ar"/>
              </w:rPr>
              <w:t xml:space="preserve"> 供应商（盖章）：</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法定代表人（签字或盖章）：</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联系人：       联系电话：</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日   期：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4" w:hRule="atLeast"/>
        </w:trPr>
        <w:tc>
          <w:tcPr>
            <w:tcW w:w="9520" w:type="dxa"/>
            <w:gridSpan w:val="9"/>
            <w:vMerge w:val="continue"/>
            <w:tcBorders>
              <w:top w:val="nil"/>
              <w:left w:val="single" w:color="000000" w:sz="4" w:space="0"/>
              <w:bottom w:val="nil"/>
              <w:right w:val="nil"/>
            </w:tcBorders>
            <w:shd w:val="clear" w:color="auto" w:fill="auto"/>
            <w:vAlign w:val="bottom"/>
          </w:tcPr>
          <w:p>
            <w:pPr>
              <w:jc w:val="left"/>
              <w:rPr>
                <w:rFonts w:hint="eastAsia" w:ascii="楷体" w:hAnsi="楷体" w:eastAsia="楷体" w:cs="楷体"/>
                <w:i w:val="0"/>
                <w:iCs w:val="0"/>
                <w:color w:val="000000"/>
                <w:sz w:val="28"/>
                <w:szCs w:val="28"/>
                <w:u w:val="none"/>
              </w:rPr>
            </w:pPr>
          </w:p>
        </w:tc>
      </w:tr>
    </w:tbl>
    <w:p>
      <w:pPr>
        <w:tabs>
          <w:tab w:val="left" w:pos="1021"/>
        </w:tabs>
        <w:ind w:left="425"/>
        <w:jc w:val="center"/>
        <w:rPr>
          <w:rFonts w:hint="eastAsia" w:ascii="仿宋" w:hAnsi="仿宋" w:eastAsia="仿宋" w:cs="仿宋"/>
          <w:color w:val="auto"/>
          <w:sz w:val="32"/>
          <w:highlight w:val="none"/>
        </w:rPr>
      </w:pPr>
      <w:r>
        <w:rPr>
          <w:rFonts w:hint="eastAsia" w:ascii="仿宋" w:hAnsi="仿宋" w:eastAsia="仿宋" w:cs="仿宋"/>
          <w:color w:val="auto"/>
          <w:sz w:val="32"/>
          <w:highlight w:val="none"/>
        </w:rPr>
        <w:t>响应文件目录</w:t>
      </w:r>
      <w:bookmarkEnd w:id="307"/>
      <w:bookmarkEnd w:id="308"/>
      <w:bookmarkEnd w:id="309"/>
      <w:bookmarkEnd w:id="310"/>
      <w:bookmarkEnd w:id="311"/>
      <w:bookmarkEnd w:id="312"/>
    </w:p>
    <w:p>
      <w:pPr>
        <w:spacing w:line="360" w:lineRule="auto"/>
        <w:jc w:val="left"/>
        <w:rPr>
          <w:rFonts w:hint="eastAsia" w:ascii="仿宋" w:hAnsi="仿宋" w:eastAsia="仿宋" w:cs="仿宋"/>
          <w:b/>
          <w:color w:val="auto"/>
          <w:szCs w:val="21"/>
          <w:highlight w:val="none"/>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Cs w:val="21"/>
          <w:highlight w:val="none"/>
        </w:rPr>
        <w:t>注：格式自拟，响应文件内容须按照目录顺序进行装订，并每页连续标注页码</w:t>
      </w:r>
    </w:p>
    <w:p>
      <w:pPr>
        <w:spacing w:line="480" w:lineRule="auto"/>
        <w:jc w:val="center"/>
        <w:outlineLvl w:val="1"/>
        <w:rPr>
          <w:rFonts w:hint="eastAsia" w:ascii="仿宋" w:hAnsi="仿宋" w:eastAsia="仿宋" w:cs="仿宋"/>
          <w:b/>
          <w:bCs/>
          <w:color w:val="auto"/>
          <w:sz w:val="32"/>
          <w:szCs w:val="28"/>
          <w:highlight w:val="none"/>
        </w:rPr>
      </w:pPr>
      <w:bookmarkStart w:id="313" w:name="_Toc18343"/>
      <w:r>
        <w:rPr>
          <w:rFonts w:hint="eastAsia" w:ascii="仿宋" w:hAnsi="仿宋" w:eastAsia="仿宋" w:cs="仿宋"/>
          <w:b/>
          <w:bCs/>
          <w:color w:val="auto"/>
          <w:sz w:val="32"/>
          <w:szCs w:val="28"/>
          <w:highlight w:val="none"/>
        </w:rPr>
        <w:t>第一部分 投标文件资格审查部分格式</w:t>
      </w:r>
      <w:bookmarkEnd w:id="313"/>
    </w:p>
    <w:p>
      <w:pPr>
        <w:pStyle w:val="4"/>
        <w:numPr>
          <w:ilvl w:val="2"/>
          <w:numId w:val="0"/>
        </w:numPr>
        <w:spacing w:before="156" w:beforeLines="50" w:after="156" w:afterLines="50"/>
        <w:rPr>
          <w:rFonts w:hint="eastAsia" w:ascii="仿宋" w:hAnsi="仿宋" w:eastAsia="仿宋" w:cs="仿宋"/>
          <w:b w:val="0"/>
          <w:color w:val="auto"/>
          <w:sz w:val="28"/>
          <w:szCs w:val="28"/>
          <w:highlight w:val="none"/>
        </w:rPr>
      </w:pPr>
      <w:bookmarkStart w:id="314" w:name="_Toc366144105"/>
      <w:bookmarkStart w:id="315" w:name="_Toc17431"/>
      <w:bookmarkStart w:id="316" w:name="_Toc10873"/>
      <w:bookmarkStart w:id="317" w:name="_Toc6392"/>
      <w:bookmarkStart w:id="318" w:name="_Toc6124"/>
      <w:r>
        <w:rPr>
          <w:rFonts w:hint="eastAsia" w:ascii="仿宋" w:hAnsi="仿宋" w:eastAsia="仿宋" w:cs="仿宋"/>
          <w:b w:val="0"/>
          <w:color w:val="auto"/>
          <w:sz w:val="28"/>
          <w:szCs w:val="28"/>
          <w:highlight w:val="none"/>
        </w:rPr>
        <w:t>一、投标人基本情况表</w:t>
      </w:r>
      <w:bookmarkEnd w:id="314"/>
      <w:bookmarkEnd w:id="315"/>
      <w:bookmarkEnd w:id="316"/>
      <w:bookmarkEnd w:id="317"/>
      <w:bookmarkEnd w:id="318"/>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19" w:name="_Toc232075047"/>
            <w:r>
              <w:rPr>
                <w:rFonts w:hint="eastAsia" w:ascii="仿宋" w:hAnsi="仿宋" w:eastAsia="仿宋" w:cs="仿宋"/>
                <w:color w:val="auto"/>
                <w:kern w:val="0"/>
                <w:highlight w:val="none"/>
                <w:lang w:val="zh-CN"/>
              </w:rPr>
              <w:t>投标人名称</w:t>
            </w:r>
            <w:bookmarkEnd w:id="319"/>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0" w:name="_Toc232075048"/>
            <w:r>
              <w:rPr>
                <w:rFonts w:hint="eastAsia" w:ascii="仿宋" w:hAnsi="仿宋" w:eastAsia="仿宋" w:cs="仿宋"/>
                <w:color w:val="auto"/>
                <w:kern w:val="0"/>
                <w:highlight w:val="none"/>
                <w:lang w:val="zh-CN"/>
              </w:rPr>
              <w:t>注册地址</w:t>
            </w:r>
            <w:bookmarkEnd w:id="320"/>
          </w:p>
        </w:tc>
        <w:tc>
          <w:tcPr>
            <w:tcW w:w="3836" w:type="dxa"/>
            <w:gridSpan w:val="2"/>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1" w:name="_Toc232075049"/>
            <w:r>
              <w:rPr>
                <w:rFonts w:hint="eastAsia" w:ascii="仿宋" w:hAnsi="仿宋" w:eastAsia="仿宋" w:cs="仿宋"/>
                <w:color w:val="auto"/>
                <w:kern w:val="0"/>
                <w:highlight w:val="none"/>
                <w:lang w:val="zh-CN"/>
              </w:rPr>
              <w:t>邮政编码</w:t>
            </w:r>
            <w:bookmarkEnd w:id="321"/>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Merge w:val="restart"/>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2" w:name="_Toc232075050"/>
            <w:r>
              <w:rPr>
                <w:rFonts w:hint="eastAsia" w:ascii="仿宋" w:hAnsi="仿宋" w:eastAsia="仿宋" w:cs="仿宋"/>
                <w:color w:val="auto"/>
                <w:kern w:val="0"/>
                <w:highlight w:val="none"/>
                <w:lang w:val="zh-CN"/>
              </w:rPr>
              <w:t>联系方式</w:t>
            </w:r>
            <w:bookmarkEnd w:id="322"/>
          </w:p>
        </w:tc>
        <w:tc>
          <w:tcPr>
            <w:tcW w:w="1311"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3" w:name="_Toc232075051"/>
            <w:r>
              <w:rPr>
                <w:rFonts w:hint="eastAsia" w:ascii="仿宋" w:hAnsi="仿宋" w:eastAsia="仿宋" w:cs="仿宋"/>
                <w:color w:val="auto"/>
                <w:kern w:val="0"/>
                <w:highlight w:val="none"/>
                <w:lang w:val="zh-CN"/>
              </w:rPr>
              <w:t>联系人</w:t>
            </w:r>
            <w:bookmarkEnd w:id="323"/>
          </w:p>
        </w:tc>
        <w:tc>
          <w:tcPr>
            <w:tcW w:w="2525"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4" w:name="_Toc232075052"/>
            <w:r>
              <w:rPr>
                <w:rFonts w:hint="eastAsia" w:ascii="仿宋" w:hAnsi="仿宋" w:eastAsia="仿宋" w:cs="仿宋"/>
                <w:color w:val="auto"/>
                <w:kern w:val="0"/>
                <w:highlight w:val="none"/>
                <w:lang w:val="zh-CN"/>
              </w:rPr>
              <w:t>电    话</w:t>
            </w:r>
            <w:bookmarkEnd w:id="324"/>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Merge w:val="continue"/>
            <w:vAlign w:val="center"/>
          </w:tcPr>
          <w:p>
            <w:pPr>
              <w:rPr>
                <w:rFonts w:hint="eastAsia" w:ascii="仿宋" w:hAnsi="仿宋" w:eastAsia="仿宋" w:cs="仿宋"/>
                <w:color w:val="auto"/>
                <w:highlight w:val="none"/>
              </w:rPr>
            </w:pPr>
          </w:p>
        </w:tc>
        <w:tc>
          <w:tcPr>
            <w:tcW w:w="1311"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5" w:name="_Toc232075053"/>
            <w:r>
              <w:rPr>
                <w:rFonts w:hint="eastAsia" w:ascii="仿宋" w:hAnsi="仿宋" w:eastAsia="仿宋" w:cs="仿宋"/>
                <w:color w:val="auto"/>
                <w:kern w:val="0"/>
                <w:highlight w:val="none"/>
                <w:lang w:val="zh-CN"/>
              </w:rPr>
              <w:t>传  真</w:t>
            </w:r>
            <w:bookmarkEnd w:id="325"/>
          </w:p>
        </w:tc>
        <w:tc>
          <w:tcPr>
            <w:tcW w:w="2525"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6" w:name="_Toc232075054"/>
            <w:r>
              <w:rPr>
                <w:rFonts w:hint="eastAsia" w:ascii="仿宋" w:hAnsi="仿宋" w:eastAsia="仿宋" w:cs="仿宋"/>
                <w:color w:val="auto"/>
                <w:kern w:val="0"/>
                <w:highlight w:val="none"/>
                <w:lang w:val="zh-CN"/>
              </w:rPr>
              <w:t>网    址</w:t>
            </w:r>
            <w:bookmarkEnd w:id="326"/>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7" w:name="_Toc232075056"/>
            <w:r>
              <w:rPr>
                <w:rFonts w:hint="eastAsia" w:ascii="仿宋" w:hAnsi="仿宋" w:eastAsia="仿宋" w:cs="仿宋"/>
                <w:color w:val="auto"/>
                <w:kern w:val="0"/>
                <w:highlight w:val="none"/>
                <w:lang w:val="zh-CN"/>
              </w:rPr>
              <w:t>法定代表人</w:t>
            </w:r>
            <w:bookmarkEnd w:id="327"/>
          </w:p>
        </w:tc>
        <w:tc>
          <w:tcPr>
            <w:tcW w:w="1311"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8" w:name="_Toc232075057"/>
            <w:r>
              <w:rPr>
                <w:rFonts w:hint="eastAsia" w:ascii="仿宋" w:hAnsi="仿宋" w:eastAsia="仿宋" w:cs="仿宋"/>
                <w:color w:val="auto"/>
                <w:kern w:val="0"/>
                <w:highlight w:val="none"/>
                <w:lang w:val="zh-CN"/>
              </w:rPr>
              <w:t>姓名</w:t>
            </w:r>
            <w:bookmarkEnd w:id="328"/>
          </w:p>
        </w:tc>
        <w:tc>
          <w:tcPr>
            <w:tcW w:w="2525"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29" w:name="_Toc232075059"/>
            <w:r>
              <w:rPr>
                <w:rFonts w:hint="eastAsia" w:ascii="仿宋" w:hAnsi="仿宋" w:eastAsia="仿宋" w:cs="仿宋"/>
                <w:color w:val="auto"/>
                <w:kern w:val="0"/>
                <w:highlight w:val="none"/>
                <w:lang w:val="zh-CN"/>
              </w:rPr>
              <w:t>电话</w:t>
            </w:r>
            <w:bookmarkEnd w:id="329"/>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0" w:name="_Toc232075064"/>
            <w:r>
              <w:rPr>
                <w:rFonts w:hint="eastAsia" w:ascii="仿宋" w:hAnsi="仿宋" w:eastAsia="仿宋" w:cs="仿宋"/>
                <w:color w:val="auto"/>
                <w:kern w:val="0"/>
                <w:highlight w:val="none"/>
                <w:lang w:val="zh-CN"/>
              </w:rPr>
              <w:t>成立时间</w:t>
            </w:r>
            <w:bookmarkEnd w:id="330"/>
          </w:p>
        </w:tc>
        <w:tc>
          <w:tcPr>
            <w:tcW w:w="3836" w:type="dxa"/>
            <w:gridSpan w:val="2"/>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c>
          <w:tcPr>
            <w:tcW w:w="1410"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1" w:name="_Toc232075065"/>
            <w:r>
              <w:rPr>
                <w:rFonts w:hint="eastAsia" w:ascii="仿宋" w:hAnsi="仿宋" w:eastAsia="仿宋" w:cs="仿宋"/>
                <w:color w:val="auto"/>
                <w:kern w:val="0"/>
                <w:highlight w:val="none"/>
                <w:lang w:val="zh-CN"/>
              </w:rPr>
              <w:t>员工总人数：</w:t>
            </w:r>
            <w:bookmarkEnd w:id="331"/>
          </w:p>
        </w:tc>
        <w:tc>
          <w:tcPr>
            <w:tcW w:w="2052"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2" w:name="_Toc232075069"/>
            <w:r>
              <w:rPr>
                <w:rFonts w:hint="eastAsia" w:ascii="仿宋" w:hAnsi="仿宋" w:eastAsia="仿宋" w:cs="仿宋"/>
                <w:color w:val="auto"/>
                <w:kern w:val="0"/>
                <w:highlight w:val="none"/>
                <w:lang w:val="zh-CN"/>
              </w:rPr>
              <w:t>营业执照号</w:t>
            </w:r>
            <w:bookmarkEnd w:id="332"/>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3" w:name="_Toc232075071"/>
            <w:r>
              <w:rPr>
                <w:rFonts w:hint="eastAsia" w:ascii="仿宋" w:hAnsi="仿宋" w:eastAsia="仿宋" w:cs="仿宋"/>
                <w:color w:val="auto"/>
                <w:kern w:val="0"/>
                <w:highlight w:val="none"/>
                <w:lang w:val="zh-CN"/>
              </w:rPr>
              <w:t>注册资金</w:t>
            </w:r>
            <w:bookmarkEnd w:id="333"/>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4" w:name="_Toc232075073"/>
            <w:r>
              <w:rPr>
                <w:rFonts w:hint="eastAsia" w:ascii="仿宋" w:hAnsi="仿宋" w:eastAsia="仿宋" w:cs="仿宋"/>
                <w:color w:val="auto"/>
                <w:kern w:val="0"/>
                <w:highlight w:val="none"/>
                <w:lang w:val="zh-CN"/>
              </w:rPr>
              <w:t>开户银行</w:t>
            </w:r>
            <w:bookmarkEnd w:id="334"/>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5" w:name="_Toc232075075"/>
            <w:r>
              <w:rPr>
                <w:rFonts w:hint="eastAsia" w:ascii="仿宋" w:hAnsi="仿宋" w:eastAsia="仿宋" w:cs="仿宋"/>
                <w:color w:val="auto"/>
                <w:kern w:val="0"/>
                <w:highlight w:val="none"/>
                <w:lang w:val="zh-CN"/>
              </w:rPr>
              <w:t>账号</w:t>
            </w:r>
            <w:bookmarkEnd w:id="335"/>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6" w:name="_Toc232075077"/>
            <w:r>
              <w:rPr>
                <w:rFonts w:hint="eastAsia" w:ascii="仿宋" w:hAnsi="仿宋" w:eastAsia="仿宋" w:cs="仿宋"/>
                <w:color w:val="auto"/>
                <w:kern w:val="0"/>
                <w:highlight w:val="none"/>
                <w:lang w:val="zh-CN"/>
              </w:rPr>
              <w:t>经营范围</w:t>
            </w:r>
            <w:bookmarkEnd w:id="336"/>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bookmarkStart w:id="337" w:name="_Toc232075078"/>
            <w:r>
              <w:rPr>
                <w:rFonts w:hint="eastAsia" w:ascii="仿宋" w:hAnsi="仿宋" w:eastAsia="仿宋" w:cs="仿宋"/>
                <w:color w:val="auto"/>
                <w:kern w:val="0"/>
                <w:highlight w:val="none"/>
                <w:lang w:val="zh-CN"/>
              </w:rPr>
              <w:t>备注</w:t>
            </w:r>
            <w:bookmarkEnd w:id="337"/>
          </w:p>
        </w:tc>
        <w:tc>
          <w:tcPr>
            <w:tcW w:w="7298" w:type="dxa"/>
            <w:gridSpan w:val="4"/>
            <w:vAlign w:val="center"/>
          </w:tcPr>
          <w:p>
            <w:pPr>
              <w:autoSpaceDE w:val="0"/>
              <w:autoSpaceDN w:val="0"/>
              <w:adjustRightInd w:val="0"/>
              <w:spacing w:line="440" w:lineRule="exact"/>
              <w:jc w:val="center"/>
              <w:rPr>
                <w:rFonts w:hint="eastAsia" w:ascii="仿宋" w:hAnsi="仿宋" w:eastAsia="仿宋" w:cs="仿宋"/>
                <w:color w:val="auto"/>
                <w:kern w:val="0"/>
                <w:highlight w:val="none"/>
                <w:lang w:val="zh-CN"/>
              </w:rPr>
            </w:pPr>
          </w:p>
        </w:tc>
      </w:tr>
    </w:tbl>
    <w:p>
      <w:pPr>
        <w:ind w:firstLine="417" w:firstLineChars="199"/>
        <w:rPr>
          <w:rFonts w:hint="eastAsia" w:ascii="仿宋" w:hAnsi="仿宋" w:eastAsia="仿宋" w:cs="仿宋"/>
          <w:color w:val="auto"/>
          <w:kern w:val="0"/>
          <w:position w:val="-1"/>
          <w:szCs w:val="22"/>
          <w:highlight w:val="none"/>
        </w:rPr>
      </w:pPr>
      <w:r>
        <w:rPr>
          <w:rFonts w:hint="eastAsia" w:ascii="仿宋" w:hAnsi="仿宋" w:eastAsia="仿宋" w:cs="仿宋"/>
          <w:color w:val="auto"/>
          <w:kern w:val="0"/>
          <w:position w:val="-1"/>
          <w:szCs w:val="22"/>
          <w:highlight w:val="none"/>
        </w:rPr>
        <w:t>附：营业执照副本等相关资料的扫描件。</w:t>
      </w:r>
    </w:p>
    <w:p>
      <w:pPr>
        <w:rPr>
          <w:rFonts w:hint="eastAsia" w:ascii="仿宋" w:hAnsi="仿宋" w:eastAsia="仿宋" w:cs="仿宋"/>
          <w:color w:val="auto"/>
          <w:kern w:val="0"/>
          <w:position w:val="-1"/>
          <w:szCs w:val="22"/>
          <w:highlight w:val="none"/>
        </w:rPr>
        <w:sectPr>
          <w:pgSz w:w="11906" w:h="16838"/>
          <w:pgMar w:top="1440" w:right="1080" w:bottom="1440" w:left="1080" w:header="543" w:footer="617" w:gutter="0"/>
          <w:cols w:space="720" w:num="1"/>
          <w:docGrid w:type="linesAndChars" w:linePitch="312" w:charSpace="0"/>
        </w:sectPr>
      </w:pPr>
    </w:p>
    <w:p>
      <w:pPr>
        <w:pStyle w:val="4"/>
        <w:numPr>
          <w:ilvl w:val="2"/>
          <w:numId w:val="0"/>
        </w:numPr>
        <w:spacing w:before="156" w:beforeLines="50" w:after="156" w:afterLines="50"/>
        <w:rPr>
          <w:rFonts w:hint="eastAsia" w:ascii="仿宋" w:hAnsi="仿宋" w:eastAsia="仿宋" w:cs="仿宋"/>
          <w:b w:val="0"/>
          <w:color w:val="auto"/>
          <w:sz w:val="28"/>
          <w:szCs w:val="28"/>
          <w:highlight w:val="none"/>
        </w:rPr>
      </w:pPr>
      <w:bookmarkStart w:id="338" w:name="_Toc31500"/>
      <w:bookmarkStart w:id="339" w:name="_Toc21711"/>
      <w:bookmarkStart w:id="340" w:name="_Toc366144106"/>
      <w:bookmarkStart w:id="341" w:name="_Toc13074"/>
      <w:bookmarkStart w:id="342" w:name="_Toc14002"/>
      <w:r>
        <w:rPr>
          <w:rFonts w:hint="eastAsia" w:ascii="仿宋" w:hAnsi="仿宋" w:eastAsia="仿宋" w:cs="仿宋"/>
          <w:b w:val="0"/>
          <w:color w:val="auto"/>
          <w:sz w:val="28"/>
          <w:szCs w:val="28"/>
          <w:highlight w:val="none"/>
        </w:rPr>
        <w:t>二、法定代表人身份证明及授权委托书</w:t>
      </w:r>
      <w:bookmarkEnd w:id="338"/>
      <w:bookmarkEnd w:id="339"/>
      <w:bookmarkEnd w:id="340"/>
      <w:bookmarkEnd w:id="341"/>
      <w:bookmarkEnd w:id="342"/>
    </w:p>
    <w:p>
      <w:pPr>
        <w:rPr>
          <w:rFonts w:hint="eastAsia" w:ascii="仿宋" w:hAnsi="仿宋" w:eastAsia="仿宋" w:cs="仿宋"/>
          <w:color w:val="auto"/>
          <w:szCs w:val="21"/>
          <w:highlight w:val="none"/>
        </w:rPr>
      </w:pPr>
    </w:p>
    <w:p>
      <w:pPr>
        <w:pStyle w:val="5"/>
        <w:jc w:val="center"/>
        <w:rPr>
          <w:rFonts w:hint="eastAsia" w:ascii="仿宋" w:hAnsi="仿宋" w:eastAsia="仿宋" w:cs="仿宋"/>
          <w:bCs/>
          <w:color w:val="auto"/>
          <w:sz w:val="24"/>
          <w:highlight w:val="none"/>
        </w:rPr>
      </w:pPr>
      <w:bookmarkStart w:id="343" w:name="_Toc229583228"/>
      <w:r>
        <w:rPr>
          <w:rFonts w:hint="eastAsia" w:ascii="仿宋" w:hAnsi="仿宋" w:eastAsia="仿宋" w:cs="仿宋"/>
          <w:bCs/>
          <w:color w:val="auto"/>
          <w:sz w:val="24"/>
          <w:highlight w:val="none"/>
        </w:rPr>
        <w:t>（一）法定代表人身份证明书</w:t>
      </w:r>
      <w:bookmarkEnd w:id="343"/>
    </w:p>
    <w:p>
      <w:pPr>
        <w:spacing w:line="360" w:lineRule="auto"/>
        <w:ind w:firstLine="612"/>
        <w:rPr>
          <w:rFonts w:hint="eastAsia" w:ascii="仿宋" w:hAnsi="仿宋" w:eastAsia="仿宋" w:cs="仿宋"/>
          <w:color w:val="auto"/>
          <w:szCs w:val="21"/>
          <w:highlight w:val="none"/>
        </w:rPr>
      </w:pPr>
      <w:r>
        <w:rPr>
          <w:rFonts w:hint="eastAsia" w:ascii="仿宋" w:hAnsi="仿宋" w:eastAsia="仿宋" w:cs="仿宋"/>
          <w:color w:val="auto"/>
          <w:szCs w:val="21"/>
          <w:highlight w:val="none"/>
        </w:rPr>
        <w:t>单位名称：</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单位性质：</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地    址：</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p>
    <w:p>
      <w:pPr>
        <w:spacing w:line="360" w:lineRule="auto"/>
        <w:ind w:firstLine="610"/>
        <w:rPr>
          <w:rFonts w:hint="eastAsia" w:ascii="仿宋" w:hAnsi="仿宋" w:eastAsia="仿宋" w:cs="仿宋"/>
          <w:color w:val="auto"/>
          <w:szCs w:val="21"/>
          <w:highlight w:val="none"/>
        </w:rPr>
      </w:pPr>
      <w:r>
        <w:rPr>
          <w:rFonts w:hint="eastAsia" w:ascii="仿宋" w:hAnsi="仿宋" w:eastAsia="仿宋" w:cs="仿宋"/>
          <w:color w:val="auto"/>
          <w:szCs w:val="21"/>
          <w:highlight w:val="none"/>
        </w:rPr>
        <w:t>成立时间：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经营期限：</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p>
    <w:p>
      <w:pPr>
        <w:spacing w:line="360" w:lineRule="auto"/>
        <w:ind w:firstLine="610"/>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rPr>
        <w:t>姓    名：</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 xml:space="preserve"> 性别：</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年龄：</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职务：</w:t>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ab/>
      </w:r>
      <w:r>
        <w:rPr>
          <w:rFonts w:hint="eastAsia" w:ascii="仿宋" w:hAnsi="仿宋" w:eastAsia="仿宋" w:cs="仿宋"/>
          <w:color w:val="auto"/>
          <w:szCs w:val="21"/>
          <w:highlight w:val="none"/>
          <w:u w:val="single"/>
        </w:rPr>
        <w:t xml:space="preserve"> </w:t>
      </w:r>
    </w:p>
    <w:p>
      <w:pPr>
        <w:spacing w:line="360" w:lineRule="auto"/>
        <w:ind w:firstLine="610"/>
        <w:rPr>
          <w:rFonts w:hint="eastAsia" w:ascii="仿宋" w:hAnsi="仿宋" w:eastAsia="仿宋" w:cs="仿宋"/>
          <w:color w:val="auto"/>
          <w:szCs w:val="21"/>
          <w:highlight w:val="none"/>
        </w:rPr>
      </w:pPr>
      <w:r>
        <w:rPr>
          <w:rFonts w:hint="eastAsia" w:ascii="仿宋" w:hAnsi="仿宋" w:eastAsia="仿宋" w:cs="仿宋"/>
          <w:color w:val="auto"/>
          <w:szCs w:val="21"/>
          <w:highlight w:val="none"/>
        </w:rPr>
        <w:t>系</w:t>
      </w:r>
      <w:r>
        <w:rPr>
          <w:rFonts w:hint="eastAsia" w:ascii="仿宋" w:hAnsi="仿宋" w:eastAsia="仿宋" w:cs="仿宋"/>
          <w:color w:val="auto"/>
          <w:szCs w:val="21"/>
          <w:highlight w:val="none"/>
          <w:u w:val="single"/>
        </w:rPr>
        <w:t xml:space="preserve">                                  （投标人单位名称） </w:t>
      </w:r>
      <w:r>
        <w:rPr>
          <w:rFonts w:hint="eastAsia" w:ascii="仿宋" w:hAnsi="仿宋" w:eastAsia="仿宋" w:cs="仿宋"/>
          <w:color w:val="auto"/>
          <w:szCs w:val="21"/>
          <w:highlight w:val="none"/>
        </w:rPr>
        <w:t>的法定代表人。</w:t>
      </w:r>
    </w:p>
    <w:p>
      <w:pPr>
        <w:spacing w:line="360" w:lineRule="auto"/>
        <w:ind w:firstLine="610"/>
        <w:rPr>
          <w:rFonts w:hint="eastAsia" w:ascii="仿宋" w:hAnsi="仿宋" w:eastAsia="仿宋" w:cs="仿宋"/>
          <w:color w:val="auto"/>
          <w:szCs w:val="21"/>
          <w:highlight w:val="none"/>
        </w:rPr>
      </w:pPr>
    </w:p>
    <w:p>
      <w:pPr>
        <w:spacing w:line="360" w:lineRule="auto"/>
        <w:ind w:firstLine="610"/>
        <w:rPr>
          <w:rFonts w:hint="eastAsia" w:ascii="仿宋" w:hAnsi="仿宋" w:eastAsia="仿宋" w:cs="仿宋"/>
          <w:color w:val="auto"/>
          <w:szCs w:val="21"/>
          <w:highlight w:val="none"/>
        </w:rPr>
      </w:pPr>
      <w:r>
        <w:rPr>
          <w:rFonts w:hint="eastAsia" w:ascii="仿宋" w:hAnsi="仿宋" w:eastAsia="仿宋" w:cs="仿宋"/>
          <w:color w:val="auto"/>
          <w:szCs w:val="21"/>
          <w:highlight w:val="none"/>
        </w:rPr>
        <w:t>特此证明。</w:t>
      </w:r>
    </w:p>
    <w:p>
      <w:pPr>
        <w:tabs>
          <w:tab w:val="left" w:pos="720"/>
          <w:tab w:val="left" w:pos="900"/>
        </w:tabs>
        <w:spacing w:line="360" w:lineRule="auto"/>
        <w:ind w:firstLine="420" w:firstLineChars="200"/>
        <w:rPr>
          <w:rFonts w:hint="eastAsia" w:ascii="仿宋" w:hAnsi="仿宋" w:eastAsia="仿宋" w:cs="仿宋"/>
          <w:color w:val="auto"/>
          <w:szCs w:val="21"/>
          <w:highlight w:val="none"/>
        </w:rPr>
      </w:pPr>
    </w:p>
    <w:p>
      <w:pPr>
        <w:tabs>
          <w:tab w:val="left" w:pos="720"/>
          <w:tab w:val="left" w:pos="900"/>
        </w:tabs>
        <w:spacing w:line="360" w:lineRule="auto"/>
        <w:ind w:firstLine="420" w:firstLineChars="200"/>
        <w:rPr>
          <w:rFonts w:hint="eastAsia" w:ascii="仿宋" w:hAnsi="仿宋" w:eastAsia="仿宋" w:cs="仿宋"/>
          <w:color w:val="auto"/>
          <w:szCs w:val="21"/>
          <w:highlight w:val="none"/>
        </w:rPr>
      </w:pPr>
    </w:p>
    <w:p>
      <w:pPr>
        <w:tabs>
          <w:tab w:val="left" w:pos="720"/>
          <w:tab w:val="left" w:pos="900"/>
        </w:tabs>
        <w:spacing w:line="360" w:lineRule="auto"/>
        <w:ind w:firstLine="420" w:firstLineChars="200"/>
        <w:rPr>
          <w:rFonts w:hint="eastAsia" w:ascii="仿宋" w:hAnsi="仿宋" w:eastAsia="仿宋" w:cs="仿宋"/>
          <w:color w:val="auto"/>
          <w:szCs w:val="21"/>
          <w:highlight w:val="none"/>
        </w:rPr>
      </w:pPr>
    </w:p>
    <w:p>
      <w:pPr>
        <w:spacing w:line="360" w:lineRule="auto"/>
        <w:ind w:firstLine="2125" w:firstLineChars="1012"/>
        <w:rPr>
          <w:rFonts w:hint="eastAsia" w:ascii="仿宋" w:hAnsi="仿宋" w:eastAsia="仿宋" w:cs="仿宋"/>
          <w:color w:val="auto"/>
          <w:szCs w:val="21"/>
          <w:highlight w:val="none"/>
        </w:rPr>
      </w:pPr>
      <w:r>
        <w:rPr>
          <w:rFonts w:hint="eastAsia" w:ascii="仿宋" w:hAnsi="仿宋" w:eastAsia="仿宋" w:cs="仿宋"/>
          <w:color w:val="auto"/>
          <w:szCs w:val="21"/>
          <w:highlight w:val="none"/>
        </w:rPr>
        <w:t>投标人（加盖鲜章）：</w:t>
      </w:r>
      <w:r>
        <w:rPr>
          <w:rFonts w:hint="eastAsia" w:ascii="仿宋" w:hAnsi="仿宋" w:eastAsia="仿宋" w:cs="仿宋"/>
          <w:color w:val="auto"/>
          <w:szCs w:val="21"/>
          <w:highlight w:val="none"/>
          <w:u w:val="single"/>
        </w:rPr>
        <w:t xml:space="preserve">                        </w:t>
      </w:r>
    </w:p>
    <w:p>
      <w:pPr>
        <w:spacing w:line="360" w:lineRule="auto"/>
        <w:ind w:firstLine="2125" w:firstLineChars="1012"/>
        <w:rPr>
          <w:rFonts w:hint="eastAsia" w:ascii="仿宋" w:hAnsi="仿宋" w:eastAsia="仿宋" w:cs="仿宋"/>
          <w:color w:val="auto"/>
          <w:szCs w:val="21"/>
          <w:highlight w:val="none"/>
        </w:rPr>
      </w:pPr>
      <w:r>
        <w:rPr>
          <w:rFonts w:hint="eastAsia" w:ascii="仿宋" w:hAnsi="仿宋" w:eastAsia="仿宋" w:cs="仿宋"/>
          <w:color w:val="auto"/>
          <w:szCs w:val="21"/>
          <w:highlight w:val="none"/>
        </w:rPr>
        <w:t>日  期：</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spacing w:line="360" w:lineRule="auto"/>
        <w:ind w:firstLine="2125" w:firstLineChars="1012"/>
        <w:rPr>
          <w:rFonts w:hint="eastAsia" w:ascii="仿宋" w:hAnsi="仿宋" w:eastAsia="仿宋" w:cs="仿宋"/>
          <w:color w:val="auto"/>
          <w:szCs w:val="21"/>
          <w:highlight w:val="none"/>
        </w:rPr>
      </w:pPr>
    </w:p>
    <w:p>
      <w:pPr>
        <w:spacing w:line="360" w:lineRule="auto"/>
        <w:ind w:firstLine="2125" w:firstLineChars="1012"/>
        <w:rPr>
          <w:rFonts w:hint="eastAsia" w:ascii="仿宋" w:hAnsi="仿宋" w:eastAsia="仿宋" w:cs="仿宋"/>
          <w:color w:val="auto"/>
          <w:szCs w:val="21"/>
          <w:highlight w:val="none"/>
        </w:rPr>
      </w:pPr>
    </w:p>
    <w:p>
      <w:pPr>
        <w:spacing w:line="360" w:lineRule="auto"/>
        <w:ind w:firstLine="358" w:firstLineChars="170"/>
        <w:rPr>
          <w:rFonts w:hint="eastAsia" w:ascii="仿宋" w:hAnsi="仿宋" w:eastAsia="仿宋" w:cs="仿宋"/>
          <w:b/>
          <w:color w:val="auto"/>
          <w:szCs w:val="21"/>
          <w:highlight w:val="none"/>
        </w:rPr>
      </w:pPr>
      <w:r>
        <w:rPr>
          <w:rFonts w:hint="eastAsia" w:ascii="仿宋" w:hAnsi="仿宋" w:eastAsia="仿宋" w:cs="仿宋"/>
          <w:b/>
          <w:color w:val="auto"/>
          <w:szCs w:val="21"/>
          <w:highlight w:val="none"/>
        </w:rPr>
        <w:t>注：附法定代表人身份证双面扫描件。</w:t>
      </w:r>
    </w:p>
    <w:p>
      <w:pPr>
        <w:rPr>
          <w:rFonts w:hint="eastAsia" w:ascii="仿宋" w:hAnsi="仿宋" w:eastAsia="仿宋" w:cs="仿宋"/>
          <w:bCs/>
          <w:color w:val="auto"/>
          <w:sz w:val="24"/>
          <w:highlight w:val="none"/>
        </w:rPr>
      </w:pPr>
      <w:bookmarkStart w:id="344" w:name="_Toc229583229"/>
      <w:r>
        <w:rPr>
          <w:rFonts w:hint="eastAsia" w:ascii="仿宋" w:hAnsi="仿宋" w:eastAsia="仿宋" w:cs="仿宋"/>
          <w:bCs/>
          <w:color w:val="auto"/>
          <w:sz w:val="24"/>
          <w:highlight w:val="none"/>
        </w:rPr>
        <w:br w:type="page"/>
      </w:r>
    </w:p>
    <w:p>
      <w:pPr>
        <w:pStyle w:val="5"/>
        <w:jc w:val="center"/>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（二）投标文件签署授权委托书</w:t>
      </w:r>
      <w:bookmarkEnd w:id="344"/>
    </w:p>
    <w:p>
      <w:pPr>
        <w:spacing w:line="360" w:lineRule="auto"/>
        <w:ind w:firstLine="420" w:firstLineChars="200"/>
        <w:rPr>
          <w:rFonts w:hint="eastAsia" w:ascii="仿宋" w:hAnsi="仿宋" w:eastAsia="仿宋" w:cs="仿宋"/>
          <w:color w:val="auto"/>
          <w:szCs w:val="21"/>
          <w:highlight w:val="none"/>
        </w:rPr>
      </w:pPr>
    </w:p>
    <w:p>
      <w:pPr>
        <w:spacing w:line="360" w:lineRule="auto"/>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1"/>
          <w:highlight w:val="none"/>
        </w:rPr>
        <w:t>本授权委托书声明：我</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（姓名）系</w:t>
      </w:r>
      <w:r>
        <w:rPr>
          <w:rFonts w:hint="eastAsia" w:ascii="仿宋" w:hAnsi="仿宋" w:eastAsia="仿宋" w:cs="仿宋"/>
          <w:color w:val="auto"/>
          <w:szCs w:val="21"/>
          <w:highlight w:val="none"/>
          <w:u w:val="single"/>
        </w:rPr>
        <w:t xml:space="preserve">             （投标人名称）</w:t>
      </w:r>
      <w:r>
        <w:rPr>
          <w:rFonts w:hint="eastAsia" w:ascii="仿宋" w:hAnsi="仿宋" w:eastAsia="仿宋" w:cs="仿宋"/>
          <w:color w:val="auto"/>
          <w:szCs w:val="21"/>
          <w:highlight w:val="none"/>
        </w:rPr>
        <w:t>的法定代表人，现授权委托</w:t>
      </w:r>
      <w:r>
        <w:rPr>
          <w:rFonts w:hint="eastAsia" w:ascii="仿宋" w:hAnsi="仿宋" w:eastAsia="仿宋" w:cs="仿宋"/>
          <w:color w:val="auto"/>
          <w:szCs w:val="21"/>
          <w:highlight w:val="none"/>
          <w:u w:val="single"/>
        </w:rPr>
        <w:t xml:space="preserve">               （单位名称） </w:t>
      </w:r>
      <w:r>
        <w:rPr>
          <w:rFonts w:hint="eastAsia" w:ascii="仿宋" w:hAnsi="仿宋" w:eastAsia="仿宋" w:cs="仿宋"/>
          <w:color w:val="auto"/>
          <w:szCs w:val="21"/>
          <w:highlight w:val="none"/>
        </w:rPr>
        <w:t>的</w:t>
      </w:r>
      <w:r>
        <w:rPr>
          <w:rFonts w:hint="eastAsia" w:ascii="仿宋" w:hAnsi="仿宋" w:eastAsia="仿宋" w:cs="仿宋"/>
          <w:color w:val="auto"/>
          <w:szCs w:val="21"/>
          <w:highlight w:val="none"/>
          <w:u w:val="single"/>
        </w:rPr>
        <w:t xml:space="preserve">           （姓名）</w:t>
      </w:r>
      <w:r>
        <w:rPr>
          <w:rFonts w:hint="eastAsia" w:ascii="仿宋" w:hAnsi="仿宋" w:eastAsia="仿宋" w:cs="仿宋"/>
          <w:color w:val="auto"/>
          <w:szCs w:val="21"/>
          <w:highlight w:val="none"/>
        </w:rPr>
        <w:t>为我公司签署本项目</w:t>
      </w:r>
      <w:r>
        <w:rPr>
          <w:rFonts w:hint="eastAsia" w:ascii="仿宋" w:hAnsi="仿宋" w:eastAsia="仿宋" w:cs="仿宋"/>
          <w:color w:val="auto"/>
          <w:szCs w:val="21"/>
          <w:highlight w:val="none"/>
          <w:u w:val="single"/>
        </w:rPr>
        <w:t xml:space="preserve">        （项目名称）</w:t>
      </w:r>
      <w:r>
        <w:rPr>
          <w:rFonts w:hint="eastAsia" w:ascii="仿宋" w:hAnsi="仿宋" w:eastAsia="仿宋" w:cs="仿宋"/>
          <w:color w:val="auto"/>
          <w:szCs w:val="21"/>
          <w:highlight w:val="none"/>
        </w:rPr>
        <w:t>的投标文件的法定代表人授权委托代理人，我承认代理人全权代表我所签署的本工程的投标文件的内容。</w:t>
      </w:r>
    </w:p>
    <w:p>
      <w:pPr>
        <w:spacing w:line="360" w:lineRule="auto"/>
        <w:ind w:firstLine="472" w:firstLineChars="225"/>
        <w:rPr>
          <w:rFonts w:hint="eastAsia" w:ascii="仿宋" w:hAnsi="仿宋" w:eastAsia="仿宋" w:cs="仿宋"/>
          <w:color w:val="auto"/>
          <w:szCs w:val="21"/>
          <w:highlight w:val="none"/>
        </w:rPr>
      </w:pPr>
      <w:r>
        <w:rPr>
          <w:rFonts w:hint="eastAsia" w:ascii="仿宋" w:hAnsi="仿宋" w:eastAsia="仿宋" w:cs="仿宋"/>
          <w:color w:val="auto"/>
          <w:szCs w:val="21"/>
          <w:highlight w:val="none"/>
        </w:rPr>
        <w:t>委托期限：</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w:t>
      </w:r>
    </w:p>
    <w:p>
      <w:pPr>
        <w:spacing w:line="360" w:lineRule="auto"/>
        <w:ind w:firstLine="472" w:firstLineChars="225"/>
        <w:rPr>
          <w:rFonts w:hint="eastAsia" w:ascii="仿宋" w:hAnsi="仿宋" w:eastAsia="仿宋" w:cs="仿宋"/>
          <w:color w:val="auto"/>
          <w:szCs w:val="21"/>
          <w:highlight w:val="none"/>
        </w:rPr>
      </w:pPr>
      <w:r>
        <w:rPr>
          <w:rFonts w:hint="eastAsia" w:ascii="仿宋" w:hAnsi="仿宋" w:eastAsia="仿宋" w:cs="仿宋"/>
          <w:color w:val="auto"/>
          <w:szCs w:val="21"/>
          <w:highlight w:val="none"/>
        </w:rPr>
        <w:t>代理人无转委托权，特此委托。</w:t>
      </w:r>
    </w:p>
    <w:p>
      <w:pPr>
        <w:spacing w:line="360" w:lineRule="auto"/>
        <w:rPr>
          <w:rFonts w:hint="eastAsia" w:ascii="仿宋" w:hAnsi="仿宋" w:eastAsia="仿宋" w:cs="仿宋"/>
          <w:color w:val="auto"/>
          <w:szCs w:val="21"/>
          <w:highlight w:val="none"/>
        </w:rPr>
      </w:pPr>
    </w:p>
    <w:p>
      <w:pPr>
        <w:spacing w:line="360" w:lineRule="auto"/>
        <w:ind w:firstLine="358" w:firstLineChars="170"/>
        <w:rPr>
          <w:rFonts w:hint="eastAsia" w:ascii="仿宋" w:hAnsi="仿宋" w:eastAsia="仿宋" w:cs="仿宋"/>
          <w:b/>
          <w:color w:val="auto"/>
          <w:szCs w:val="21"/>
          <w:highlight w:val="none"/>
        </w:rPr>
      </w:pPr>
      <w:r>
        <w:rPr>
          <w:rFonts w:hint="eastAsia" w:ascii="仿宋" w:hAnsi="仿宋" w:eastAsia="仿宋" w:cs="仿宋"/>
          <w:b/>
          <w:color w:val="auto"/>
          <w:szCs w:val="21"/>
          <w:highlight w:val="none"/>
        </w:rPr>
        <w:t>注：附法定代表人授权委托人身份证双面扫描件。</w:t>
      </w:r>
    </w:p>
    <w:p>
      <w:pPr>
        <w:spacing w:line="360" w:lineRule="auto"/>
        <w:rPr>
          <w:rFonts w:hint="eastAsia" w:ascii="仿宋" w:hAnsi="仿宋" w:eastAsia="仿宋" w:cs="仿宋"/>
          <w:color w:val="auto"/>
          <w:szCs w:val="21"/>
          <w:highlight w:val="none"/>
        </w:rPr>
      </w:pPr>
    </w:p>
    <w:p>
      <w:pPr>
        <w:spacing w:line="360" w:lineRule="auto"/>
        <w:rPr>
          <w:rFonts w:hint="eastAsia" w:ascii="仿宋" w:hAnsi="仿宋" w:eastAsia="仿宋" w:cs="仿宋"/>
          <w:color w:val="auto"/>
          <w:szCs w:val="21"/>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sz w:val="24"/>
          <w:highlight w:val="none"/>
        </w:rPr>
      </w:pP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投标人（加盖鲜章）：</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法定代表人（签字或盖章）：</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身份证号码：</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highlight w:val="none"/>
        </w:rPr>
      </w:pPr>
      <w:r>
        <w:rPr>
          <w:rFonts w:hint="eastAsia" w:ascii="仿宋" w:hAnsi="仿宋" w:eastAsia="仿宋" w:cs="仿宋"/>
          <w:color w:val="auto"/>
          <w:sz w:val="24"/>
          <w:highlight w:val="none"/>
        </w:rPr>
        <w:t>委托代理人：</w:t>
      </w:r>
      <w:r>
        <w:rPr>
          <w:rFonts w:hint="eastAsia" w:ascii="仿宋" w:hAnsi="仿宋" w:eastAsia="仿宋" w:cs="仿宋"/>
          <w:color w:val="auto"/>
          <w:sz w:val="24"/>
          <w:highlight w:val="none"/>
          <w:u w:val="single"/>
        </w:rPr>
        <w:t xml:space="preserve">                                     </w:t>
      </w:r>
    </w:p>
    <w:p>
      <w:pPr>
        <w:spacing w:line="500" w:lineRule="exact"/>
        <w:rPr>
          <w:rFonts w:hint="eastAsia" w:ascii="仿宋" w:hAnsi="仿宋" w:eastAsia="仿宋" w:cs="仿宋"/>
          <w:color w:val="auto"/>
          <w:sz w:val="24"/>
          <w:highlight w:val="none"/>
          <w:u w:val="single"/>
        </w:rPr>
      </w:pPr>
      <w:r>
        <w:rPr>
          <w:rFonts w:hint="eastAsia" w:ascii="仿宋" w:hAnsi="仿宋" w:eastAsia="仿宋" w:cs="仿宋"/>
          <w:color w:val="auto"/>
          <w:sz w:val="24"/>
          <w:highlight w:val="none"/>
        </w:rPr>
        <w:t>身份证号码：</w:t>
      </w:r>
      <w:r>
        <w:rPr>
          <w:rFonts w:hint="eastAsia" w:ascii="仿宋" w:hAnsi="仿宋" w:eastAsia="仿宋" w:cs="仿宋"/>
          <w:color w:val="auto"/>
          <w:sz w:val="24"/>
          <w:highlight w:val="none"/>
          <w:u w:val="single"/>
        </w:rPr>
        <w:t xml:space="preserve">                                     </w:t>
      </w:r>
    </w:p>
    <w:p>
      <w:pPr>
        <w:pStyle w:val="8"/>
        <w:spacing w:before="156"/>
        <w:ind w:firstLine="420"/>
        <w:rPr>
          <w:rFonts w:hint="eastAsia" w:ascii="仿宋" w:hAnsi="仿宋" w:eastAsia="仿宋" w:cs="仿宋"/>
          <w:color w:val="auto"/>
          <w:highlight w:val="none"/>
        </w:rPr>
      </w:pPr>
    </w:p>
    <w:p>
      <w:pPr>
        <w:spacing w:line="360" w:lineRule="auto"/>
        <w:ind w:firstLine="2100" w:firstLineChars="1000"/>
        <w:rPr>
          <w:rFonts w:hint="eastAsia" w:ascii="仿宋" w:hAnsi="仿宋" w:eastAsia="仿宋" w:cs="仿宋"/>
          <w:color w:val="auto"/>
          <w:szCs w:val="21"/>
          <w:highlight w:val="none"/>
        </w:rPr>
      </w:pPr>
    </w:p>
    <w:p>
      <w:pPr>
        <w:spacing w:line="360" w:lineRule="auto"/>
        <w:jc w:val="right"/>
        <w:rPr>
          <w:rFonts w:hint="eastAsia" w:ascii="仿宋" w:hAnsi="仿宋" w:eastAsia="仿宋" w:cs="仿宋"/>
          <w:color w:val="auto"/>
          <w:szCs w:val="21"/>
          <w:highlight w:val="none"/>
          <w:u w:val="single"/>
        </w:rPr>
      </w:pP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pStyle w:val="4"/>
        <w:numPr>
          <w:ilvl w:val="2"/>
          <w:numId w:val="0"/>
        </w:numPr>
        <w:spacing w:before="156" w:beforeLines="50" w:after="156" w:afterLines="50"/>
        <w:rPr>
          <w:rFonts w:hint="eastAsia" w:ascii="仿宋" w:hAnsi="仿宋" w:eastAsia="仿宋" w:cs="仿宋"/>
          <w:color w:val="auto"/>
          <w:sz w:val="28"/>
          <w:szCs w:val="28"/>
          <w:highlight w:val="none"/>
        </w:rPr>
      </w:pPr>
      <w:r>
        <w:rPr>
          <w:rFonts w:hint="eastAsia" w:ascii="仿宋" w:hAnsi="仿宋" w:eastAsia="仿宋" w:cs="仿宋"/>
          <w:b w:val="0"/>
          <w:color w:val="auto"/>
          <w:sz w:val="29"/>
          <w:szCs w:val="21"/>
          <w:highlight w:val="none"/>
        </w:rPr>
        <w:br w:type="page"/>
      </w:r>
      <w:bookmarkStart w:id="345" w:name="_Toc8659"/>
      <w:bookmarkStart w:id="346" w:name="_Toc30576"/>
      <w:bookmarkStart w:id="347" w:name="_Toc7329"/>
      <w:bookmarkStart w:id="348" w:name="_Toc366144108"/>
      <w:bookmarkStart w:id="349" w:name="_Toc9614"/>
      <w:r>
        <w:rPr>
          <w:rFonts w:hint="eastAsia" w:ascii="仿宋" w:hAnsi="仿宋" w:eastAsia="仿宋" w:cs="仿宋"/>
          <w:b w:val="0"/>
          <w:color w:val="auto"/>
          <w:sz w:val="29"/>
          <w:szCs w:val="21"/>
          <w:highlight w:val="none"/>
        </w:rPr>
        <w:t>三、</w:t>
      </w:r>
      <w:r>
        <w:rPr>
          <w:rFonts w:hint="eastAsia" w:ascii="仿宋" w:hAnsi="仿宋" w:eastAsia="仿宋" w:cs="仿宋"/>
          <w:color w:val="auto"/>
          <w:sz w:val="28"/>
          <w:szCs w:val="28"/>
          <w:highlight w:val="none"/>
        </w:rPr>
        <w:t>财务状况</w:t>
      </w:r>
      <w:bookmarkEnd w:id="345"/>
      <w:bookmarkEnd w:id="346"/>
      <w:bookmarkEnd w:id="347"/>
      <w:bookmarkEnd w:id="348"/>
      <w:bookmarkEnd w:id="349"/>
    </w:p>
    <w:p>
      <w:pPr>
        <w:rPr>
          <w:rFonts w:hint="eastAsia" w:ascii="仿宋" w:hAnsi="仿宋" w:eastAsia="仿宋" w:cs="仿宋"/>
          <w:color w:val="auto"/>
          <w:szCs w:val="21"/>
          <w:highlight w:val="none"/>
        </w:rPr>
      </w:pPr>
      <w:r>
        <w:rPr>
          <w:rFonts w:hint="eastAsia" w:ascii="仿宋" w:hAnsi="仿宋" w:eastAsia="仿宋" w:cs="仿宋"/>
          <w:color w:val="auto"/>
          <w:highlight w:val="none"/>
          <w:lang w:eastAsia="zh-CN"/>
        </w:rPr>
        <w:t>提供经第三方审计机构审计的202</w:t>
      </w: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lang w:eastAsia="zh-CN"/>
        </w:rPr>
        <w:t>年或202</w:t>
      </w: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lang w:eastAsia="zh-CN"/>
        </w:rPr>
        <w:t>年财务状况审计报告，未经第三方审计的投标人或成立年限不足1年的投标人可提供基本开户银行出具的资信证明</w:t>
      </w: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rPr>
          <w:rFonts w:hint="eastAsia" w:ascii="仿宋" w:hAnsi="仿宋" w:eastAsia="仿宋" w:cs="仿宋"/>
          <w:color w:val="auto"/>
          <w:szCs w:val="21"/>
          <w:highlight w:val="none"/>
        </w:rPr>
      </w:pPr>
    </w:p>
    <w:p>
      <w:pPr>
        <w:jc w:val="center"/>
        <w:outlineLvl w:val="2"/>
        <w:rPr>
          <w:rFonts w:hint="eastAsia" w:ascii="仿宋" w:hAnsi="仿宋" w:eastAsia="仿宋" w:cs="仿宋"/>
          <w:b/>
          <w:color w:val="auto"/>
          <w:sz w:val="28"/>
          <w:szCs w:val="28"/>
          <w:highlight w:val="none"/>
        </w:rPr>
      </w:pPr>
      <w:bookmarkStart w:id="350" w:name="_Toc24566"/>
      <w:bookmarkStart w:id="351" w:name="_Toc366144111"/>
      <w:bookmarkStart w:id="352" w:name="_Toc17739"/>
      <w:bookmarkStart w:id="353" w:name="_Toc29042"/>
      <w:r>
        <w:rPr>
          <w:rFonts w:hint="eastAsia" w:ascii="仿宋" w:hAnsi="仿宋" w:eastAsia="仿宋" w:cs="仿宋"/>
          <w:color w:val="auto"/>
          <w:szCs w:val="21"/>
          <w:highlight w:val="none"/>
        </w:rPr>
        <w:br w:type="page"/>
      </w:r>
      <w:bookmarkStart w:id="354" w:name="_Toc465786608"/>
      <w:bookmarkStart w:id="355" w:name="_Toc465786750"/>
      <w:bookmarkStart w:id="356" w:name="_Toc32458"/>
      <w:bookmarkStart w:id="357" w:name="_Toc27061"/>
      <w:bookmarkStart w:id="358" w:name="_Toc479699572"/>
      <w:bookmarkStart w:id="359" w:name="_Toc18848"/>
      <w:r>
        <w:rPr>
          <w:rFonts w:hint="eastAsia" w:ascii="仿宋" w:hAnsi="仿宋" w:eastAsia="仿宋" w:cs="仿宋"/>
          <w:b/>
          <w:color w:val="auto"/>
          <w:sz w:val="28"/>
          <w:szCs w:val="28"/>
          <w:highlight w:val="none"/>
          <w:lang w:val="en-US" w:eastAsia="zh-CN"/>
        </w:rPr>
        <w:t>四</w:t>
      </w:r>
      <w:r>
        <w:rPr>
          <w:rFonts w:hint="eastAsia" w:ascii="仿宋" w:hAnsi="仿宋" w:eastAsia="仿宋" w:cs="仿宋"/>
          <w:b/>
          <w:color w:val="auto"/>
          <w:sz w:val="28"/>
          <w:szCs w:val="28"/>
          <w:highlight w:val="none"/>
        </w:rPr>
        <w:t>、</w:t>
      </w:r>
      <w:bookmarkEnd w:id="354"/>
      <w:bookmarkEnd w:id="355"/>
      <w:bookmarkEnd w:id="356"/>
      <w:bookmarkEnd w:id="357"/>
      <w:bookmarkEnd w:id="358"/>
      <w:bookmarkStart w:id="360" w:name="_Toc366144110"/>
      <w:bookmarkStart w:id="361" w:name="_Toc11561"/>
      <w:r>
        <w:rPr>
          <w:rFonts w:hint="eastAsia" w:ascii="仿宋" w:hAnsi="仿宋" w:eastAsia="仿宋" w:cs="仿宋"/>
          <w:b/>
          <w:color w:val="auto"/>
          <w:sz w:val="28"/>
          <w:szCs w:val="28"/>
          <w:highlight w:val="none"/>
        </w:rPr>
        <w:t>投标人信誉</w:t>
      </w:r>
      <w:bookmarkEnd w:id="360"/>
      <w:r>
        <w:rPr>
          <w:rFonts w:hint="eastAsia" w:ascii="仿宋" w:hAnsi="仿宋" w:eastAsia="仿宋" w:cs="仿宋"/>
          <w:b/>
          <w:color w:val="auto"/>
          <w:sz w:val="28"/>
          <w:szCs w:val="28"/>
          <w:highlight w:val="none"/>
        </w:rPr>
        <w:t>情况</w:t>
      </w:r>
      <w:bookmarkEnd w:id="359"/>
      <w:bookmarkEnd w:id="361"/>
    </w:p>
    <w:p>
      <w:pPr>
        <w:spacing w:line="360" w:lineRule="auto"/>
        <w:ind w:firstLine="420" w:firstLineChars="200"/>
        <w:rPr>
          <w:rFonts w:hint="eastAsia" w:ascii="仿宋" w:hAnsi="仿宋" w:eastAsia="仿宋" w:cs="仿宋"/>
          <w:color w:val="auto"/>
          <w:szCs w:val="21"/>
          <w:highlight w:val="none"/>
        </w:rPr>
      </w:pPr>
      <w:r>
        <w:rPr>
          <w:rFonts w:hint="eastAsia" w:ascii="仿宋" w:hAnsi="仿宋" w:eastAsia="仿宋" w:cs="仿宋"/>
          <w:color w:val="auto"/>
          <w:szCs w:val="28"/>
          <w:highlight w:val="none"/>
        </w:rPr>
        <w:t>投标人没有处于被责令停业、投标资格被暂停或取消、财产被接管、冻结、破产等状态；2020年1月1日至今没有骗取中标和严重违约、没有被项目所在地政府或国家部委禁止市场准入等情形（提供承诺书或相关证明材料）。</w:t>
      </w:r>
    </w:p>
    <w:bookmarkEnd w:id="350"/>
    <w:bookmarkEnd w:id="351"/>
    <w:bookmarkEnd w:id="352"/>
    <w:bookmarkEnd w:id="353"/>
    <w:p>
      <w:pPr>
        <w:rPr>
          <w:rFonts w:hint="eastAsia" w:ascii="仿宋" w:hAnsi="仿宋" w:eastAsia="仿宋" w:cs="仿宋"/>
          <w:color w:val="auto"/>
          <w:sz w:val="28"/>
          <w:szCs w:val="28"/>
          <w:highlight w:val="none"/>
          <w:lang w:val="en-US" w:eastAsia="zh-CN"/>
        </w:rPr>
      </w:pPr>
      <w:bookmarkStart w:id="362" w:name="_Toc11118"/>
      <w:bookmarkStart w:id="363" w:name="_Toc27321"/>
      <w:bookmarkStart w:id="364" w:name="_Toc18069"/>
      <w:bookmarkStart w:id="365" w:name="_Toc366144112"/>
      <w:r>
        <w:rPr>
          <w:rFonts w:hint="eastAsia" w:ascii="仿宋" w:hAnsi="仿宋" w:eastAsia="仿宋" w:cs="仿宋"/>
          <w:color w:val="auto"/>
          <w:sz w:val="28"/>
          <w:szCs w:val="28"/>
          <w:highlight w:val="none"/>
          <w:lang w:val="en-US" w:eastAsia="zh-CN"/>
        </w:rPr>
        <w:br w:type="page"/>
      </w:r>
    </w:p>
    <w:p>
      <w:pPr>
        <w:jc w:val="center"/>
        <w:outlineLvl w:val="2"/>
        <w:rPr>
          <w:rFonts w:hint="eastAsia" w:ascii="仿宋" w:hAnsi="仿宋" w:eastAsia="仿宋" w:cs="仿宋"/>
          <w:b/>
          <w:color w:val="auto"/>
          <w:sz w:val="28"/>
          <w:szCs w:val="28"/>
          <w:highlight w:val="none"/>
          <w:lang w:val="en-US" w:eastAsia="zh-CN"/>
        </w:rPr>
      </w:pPr>
      <w:bookmarkStart w:id="366" w:name="_Toc21743"/>
      <w:r>
        <w:rPr>
          <w:rFonts w:hint="eastAsia" w:ascii="仿宋" w:hAnsi="仿宋" w:eastAsia="仿宋" w:cs="仿宋"/>
          <w:b/>
          <w:color w:val="auto"/>
          <w:sz w:val="28"/>
          <w:szCs w:val="28"/>
          <w:highlight w:val="none"/>
          <w:lang w:val="en-US" w:eastAsia="zh-CN"/>
        </w:rPr>
        <w:t>五、投标人承诺书</w:t>
      </w:r>
      <w:bookmarkEnd w:id="362"/>
      <w:bookmarkEnd w:id="363"/>
      <w:bookmarkEnd w:id="364"/>
      <w:bookmarkEnd w:id="365"/>
      <w:bookmarkEnd w:id="366"/>
    </w:p>
    <w:p>
      <w:pPr>
        <w:jc w:val="center"/>
        <w:rPr>
          <w:rFonts w:hint="eastAsia" w:ascii="仿宋" w:hAnsi="仿宋" w:eastAsia="仿宋" w:cs="仿宋"/>
          <w:color w:val="auto"/>
          <w:highlight w:val="none"/>
          <w:u w:val="single"/>
        </w:rPr>
      </w:pP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本企业参与</w:t>
      </w:r>
      <w:r>
        <w:rPr>
          <w:rFonts w:hint="eastAsia" w:ascii="仿宋" w:hAnsi="仿宋" w:eastAsia="仿宋" w:cs="仿宋"/>
          <w:color w:val="auto"/>
          <w:highlight w:val="none"/>
          <w:u w:val="single"/>
        </w:rPr>
        <w:t xml:space="preserve">                          </w:t>
      </w:r>
      <w:r>
        <w:rPr>
          <w:rFonts w:hint="eastAsia" w:ascii="仿宋" w:hAnsi="仿宋" w:eastAsia="仿宋" w:cs="仿宋"/>
          <w:color w:val="auto"/>
          <w:highlight w:val="none"/>
        </w:rPr>
        <w:t>项目的投标，现作如下承诺：</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1、我公司参与此次投标活动所提交的所有资料都是合法、真实、有效的。</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2、不与其他投标人串通投标、围标，依法、依规公平竞争，不损害招标人或其他投标人的合法权益。</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3、不转让、出租、出借资质证书、人员岗位证书，不以法律、法规禁止的方式投标。</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4、不与招标人串通投标，不损害国家利益、社会公共利益或其他当事人的合法权益。</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5、不向招标人、评标委员会成员、监督人员行贿。</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6</w:t>
      </w:r>
      <w:r>
        <w:rPr>
          <w:rFonts w:hint="eastAsia" w:ascii="仿宋" w:hAnsi="仿宋" w:eastAsia="仿宋" w:cs="仿宋"/>
          <w:color w:val="auto"/>
          <w:highlight w:val="none"/>
        </w:rPr>
        <w:t>、不进行虚假恶意投诉。</w:t>
      </w:r>
    </w:p>
    <w:p>
      <w:pPr>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7</w:t>
      </w:r>
      <w:r>
        <w:rPr>
          <w:rFonts w:hint="eastAsia" w:ascii="仿宋" w:hAnsi="仿宋" w:eastAsia="仿宋" w:cs="仿宋"/>
          <w:color w:val="auto"/>
          <w:highlight w:val="none"/>
        </w:rPr>
        <w:t>、因违反法律、法规或相关规定被查处的，不干预案件查处。</w:t>
      </w:r>
    </w:p>
    <w:p>
      <w:pPr>
        <w:spacing w:line="360" w:lineRule="auto"/>
        <w:rPr>
          <w:rFonts w:hint="eastAsia" w:ascii="仿宋" w:hAnsi="仿宋" w:eastAsia="仿宋" w:cs="仿宋"/>
          <w:color w:val="auto"/>
          <w:highlight w:val="none"/>
        </w:rPr>
      </w:pPr>
      <w:r>
        <w:rPr>
          <w:rFonts w:hint="eastAsia" w:ascii="仿宋" w:hAnsi="仿宋" w:eastAsia="仿宋" w:cs="仿宋"/>
          <w:color w:val="auto"/>
          <w:highlight w:val="none"/>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pPr>
        <w:spacing w:line="360" w:lineRule="auto"/>
        <w:rPr>
          <w:rFonts w:hint="eastAsia" w:ascii="仿宋" w:hAnsi="仿宋" w:eastAsia="仿宋" w:cs="仿宋"/>
          <w:color w:val="auto"/>
          <w:highlight w:val="none"/>
        </w:rPr>
      </w:pPr>
    </w:p>
    <w:p>
      <w:pPr>
        <w:spacing w:line="800" w:lineRule="exact"/>
        <w:rPr>
          <w:rFonts w:hint="eastAsia" w:ascii="仿宋" w:hAnsi="仿宋" w:eastAsia="仿宋" w:cs="仿宋"/>
          <w:color w:val="auto"/>
          <w:highlight w:val="none"/>
          <w:u w:val="single"/>
        </w:rPr>
      </w:pPr>
      <w:r>
        <w:rPr>
          <w:rFonts w:hint="eastAsia" w:ascii="仿宋" w:hAnsi="仿宋" w:eastAsia="仿宋" w:cs="仿宋"/>
          <w:color w:val="auto"/>
          <w:highlight w:val="none"/>
        </w:rPr>
        <w:t>投标人（加盖鲜章）：</w:t>
      </w:r>
      <w:r>
        <w:rPr>
          <w:rFonts w:hint="eastAsia" w:ascii="仿宋" w:hAnsi="仿宋" w:eastAsia="仿宋" w:cs="仿宋"/>
          <w:color w:val="auto"/>
          <w:highlight w:val="none"/>
          <w:u w:val="single"/>
        </w:rPr>
        <w:t xml:space="preserve">                              </w:t>
      </w:r>
    </w:p>
    <w:p>
      <w:pPr>
        <w:spacing w:line="800" w:lineRule="exact"/>
        <w:rPr>
          <w:rFonts w:hint="eastAsia" w:ascii="仿宋" w:hAnsi="仿宋" w:eastAsia="仿宋" w:cs="仿宋"/>
          <w:color w:val="auto"/>
          <w:highlight w:val="none"/>
          <w:u w:val="single"/>
        </w:rPr>
      </w:pPr>
      <w:r>
        <w:rPr>
          <w:rFonts w:hint="eastAsia" w:ascii="仿宋" w:hAnsi="仿宋" w:eastAsia="仿宋" w:cs="仿宋"/>
          <w:color w:val="auto"/>
          <w:highlight w:val="none"/>
        </w:rPr>
        <w:t>法定代表人（签字或盖章）：</w:t>
      </w:r>
      <w:r>
        <w:rPr>
          <w:rFonts w:hint="eastAsia" w:ascii="仿宋" w:hAnsi="仿宋" w:eastAsia="仿宋" w:cs="仿宋"/>
          <w:color w:val="auto"/>
          <w:highlight w:val="none"/>
          <w:u w:val="single"/>
        </w:rPr>
        <w:t xml:space="preserve">                        </w:t>
      </w:r>
    </w:p>
    <w:p>
      <w:pPr>
        <w:spacing w:line="800" w:lineRule="exact"/>
        <w:rPr>
          <w:rFonts w:hint="eastAsia" w:ascii="仿宋" w:hAnsi="仿宋" w:eastAsia="仿宋" w:cs="仿宋"/>
          <w:color w:val="auto"/>
          <w:szCs w:val="21"/>
          <w:highlight w:val="none"/>
        </w:rPr>
      </w:pP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月</w:t>
      </w:r>
      <w:r>
        <w:rPr>
          <w:rFonts w:hint="eastAsia" w:ascii="仿宋" w:hAnsi="仿宋" w:eastAsia="仿宋" w:cs="仿宋"/>
          <w:color w:val="auto"/>
          <w:szCs w:val="21"/>
          <w:highlight w:val="none"/>
          <w:u w:val="single"/>
        </w:rPr>
        <w:t xml:space="preserve">          </w:t>
      </w:r>
      <w:r>
        <w:rPr>
          <w:rFonts w:hint="eastAsia" w:ascii="仿宋" w:hAnsi="仿宋" w:eastAsia="仿宋" w:cs="仿宋"/>
          <w:color w:val="auto"/>
          <w:szCs w:val="21"/>
          <w:highlight w:val="none"/>
        </w:rPr>
        <w:t>日</w:t>
      </w:r>
    </w:p>
    <w:p>
      <w:pPr>
        <w:spacing w:line="360" w:lineRule="auto"/>
        <w:jc w:val="center"/>
        <w:outlineLvl w:val="2"/>
        <w:rPr>
          <w:rFonts w:hint="eastAsia" w:ascii="仿宋" w:hAnsi="仿宋" w:eastAsia="仿宋" w:cs="仿宋"/>
          <w:b/>
          <w:color w:val="auto"/>
          <w:sz w:val="28"/>
          <w:szCs w:val="28"/>
          <w:highlight w:val="none"/>
        </w:rPr>
      </w:pPr>
      <w:r>
        <w:rPr>
          <w:rFonts w:hint="eastAsia" w:ascii="仿宋" w:hAnsi="仿宋" w:eastAsia="仿宋" w:cs="仿宋"/>
          <w:color w:val="auto"/>
          <w:szCs w:val="21"/>
          <w:highlight w:val="none"/>
        </w:rPr>
        <w:br w:type="page"/>
      </w:r>
      <w:bookmarkStart w:id="367" w:name="_Toc28837"/>
      <w:bookmarkStart w:id="368" w:name="_Toc366144113"/>
      <w:bookmarkStart w:id="369" w:name="_Toc12321"/>
      <w:bookmarkStart w:id="370" w:name="_Toc13951"/>
      <w:r>
        <w:rPr>
          <w:rFonts w:hint="eastAsia" w:ascii="仿宋" w:hAnsi="仿宋" w:eastAsia="仿宋" w:cs="仿宋"/>
          <w:b/>
          <w:color w:val="auto"/>
          <w:sz w:val="28"/>
          <w:szCs w:val="28"/>
          <w:highlight w:val="none"/>
          <w:lang w:val="en-US" w:eastAsia="zh-CN"/>
        </w:rPr>
        <w:t>六</w:t>
      </w:r>
      <w:r>
        <w:rPr>
          <w:rFonts w:hint="eastAsia" w:ascii="仿宋" w:hAnsi="仿宋" w:eastAsia="仿宋" w:cs="仿宋"/>
          <w:b/>
          <w:color w:val="auto"/>
          <w:sz w:val="28"/>
          <w:szCs w:val="28"/>
          <w:highlight w:val="none"/>
        </w:rPr>
        <w:t>、其他材料</w:t>
      </w:r>
      <w:bookmarkEnd w:id="367"/>
      <w:bookmarkEnd w:id="368"/>
      <w:bookmarkEnd w:id="369"/>
      <w:bookmarkEnd w:id="370"/>
    </w:p>
    <w:p>
      <w:pPr>
        <w:jc w:val="center"/>
        <w:rPr>
          <w:rFonts w:hint="eastAsia" w:ascii="仿宋" w:hAnsi="仿宋" w:eastAsia="仿宋" w:cs="仿宋"/>
          <w:color w:val="auto"/>
          <w:highlight w:val="none"/>
          <w:u w:val="single"/>
        </w:rPr>
      </w:pPr>
    </w:p>
    <w:p>
      <w:pPr>
        <w:spacing w:line="390" w:lineRule="exact"/>
        <w:ind w:firstLine="420" w:firstLineChars="200"/>
        <w:jc w:val="center"/>
        <w:rPr>
          <w:rFonts w:hint="eastAsia" w:ascii="仿宋" w:hAnsi="仿宋" w:eastAsia="仿宋" w:cs="仿宋"/>
          <w:color w:val="auto"/>
          <w:szCs w:val="21"/>
          <w:highlight w:val="none"/>
        </w:rPr>
      </w:pPr>
      <w:r>
        <w:rPr>
          <w:rFonts w:hint="eastAsia" w:ascii="仿宋" w:hAnsi="仿宋" w:eastAsia="仿宋" w:cs="仿宋"/>
          <w:color w:val="auto"/>
          <w:szCs w:val="21"/>
          <w:highlight w:val="none"/>
        </w:rPr>
        <w:t>如：</w:t>
      </w:r>
      <w:r>
        <w:rPr>
          <w:rFonts w:hint="eastAsia" w:ascii="仿宋" w:hAnsi="仿宋" w:eastAsia="仿宋" w:cs="仿宋"/>
          <w:color w:val="auto"/>
          <w:szCs w:val="21"/>
          <w:highlight w:val="none"/>
          <w:lang w:val="en-US" w:eastAsia="zh-CN"/>
        </w:rPr>
        <w:t>比选</w:t>
      </w:r>
      <w:r>
        <w:rPr>
          <w:rFonts w:hint="eastAsia" w:ascii="仿宋" w:hAnsi="仿宋" w:eastAsia="仿宋" w:cs="仿宋"/>
          <w:color w:val="auto"/>
          <w:szCs w:val="21"/>
          <w:highlight w:val="none"/>
        </w:rPr>
        <w:t>文件要求的或者投标人认为有必要提供的</w:t>
      </w:r>
      <w:r>
        <w:rPr>
          <w:rFonts w:hint="eastAsia" w:ascii="仿宋" w:hAnsi="仿宋" w:eastAsia="仿宋" w:cs="仿宋"/>
          <w:color w:val="auto"/>
          <w:szCs w:val="21"/>
          <w:highlight w:val="none"/>
          <w:lang w:val="en-US" w:eastAsia="zh-CN"/>
        </w:rPr>
        <w:t>资格审查</w:t>
      </w:r>
      <w:r>
        <w:rPr>
          <w:rFonts w:hint="eastAsia" w:ascii="仿宋" w:hAnsi="仿宋" w:eastAsia="仿宋" w:cs="仿宋"/>
          <w:color w:val="auto"/>
          <w:szCs w:val="21"/>
          <w:highlight w:val="none"/>
        </w:rPr>
        <w:t>材料。</w:t>
      </w:r>
    </w:p>
    <w:p>
      <w:pPr>
        <w:spacing w:line="360" w:lineRule="auto"/>
        <w:rPr>
          <w:rFonts w:hint="eastAsia" w:ascii="仿宋" w:hAnsi="仿宋" w:eastAsia="仿宋" w:cs="仿宋"/>
          <w:color w:val="auto"/>
          <w:highlight w:val="none"/>
        </w:rPr>
      </w:pPr>
    </w:p>
    <w:p>
      <w:pPr>
        <w:rPr>
          <w:rFonts w:hint="eastAsia" w:ascii="仿宋" w:hAnsi="仿宋" w:eastAsia="仿宋" w:cs="仿宋"/>
          <w:color w:val="auto"/>
          <w:szCs w:val="21"/>
          <w:highlight w:val="none"/>
        </w:rPr>
      </w:pPr>
    </w:p>
    <w:p>
      <w:pPr>
        <w:pStyle w:val="3"/>
        <w:numPr>
          <w:ilvl w:val="1"/>
          <w:numId w:val="0"/>
        </w:numPr>
        <w:spacing w:line="416" w:lineRule="auto"/>
        <w:rPr>
          <w:rFonts w:hint="eastAsia" w:ascii="仿宋" w:hAnsi="仿宋" w:eastAsia="仿宋" w:cs="仿宋"/>
          <w:b/>
          <w:bCs/>
          <w:color w:val="auto"/>
          <w:kern w:val="2"/>
          <w:sz w:val="32"/>
          <w:szCs w:val="28"/>
          <w:highlight w:val="none"/>
          <w:lang w:val="en-US" w:eastAsia="zh-CN" w:bidi="ar-SA"/>
        </w:rPr>
      </w:pPr>
      <w:bookmarkStart w:id="371" w:name="_Toc306524563"/>
      <w:r>
        <w:rPr>
          <w:rFonts w:hint="eastAsia" w:ascii="仿宋" w:hAnsi="仿宋" w:eastAsia="仿宋" w:cs="仿宋"/>
          <w:color w:val="auto"/>
          <w:highlight w:val="none"/>
        </w:rPr>
        <w:br w:type="page"/>
      </w:r>
      <w:bookmarkStart w:id="372" w:name="_Toc366144115"/>
      <w:bookmarkStart w:id="373" w:name="_Toc1978"/>
      <w:bookmarkStart w:id="374" w:name="_Toc15385"/>
      <w:bookmarkStart w:id="375" w:name="_Toc9149"/>
      <w:r>
        <w:rPr>
          <w:rFonts w:hint="eastAsia" w:ascii="仿宋" w:hAnsi="仿宋" w:eastAsia="仿宋" w:cs="仿宋"/>
          <w:b/>
          <w:bCs/>
          <w:color w:val="auto"/>
          <w:kern w:val="2"/>
          <w:sz w:val="32"/>
          <w:szCs w:val="28"/>
          <w:highlight w:val="none"/>
          <w:lang w:val="en-US" w:eastAsia="zh-CN" w:bidi="ar-SA"/>
        </w:rPr>
        <w:t>第二部分 投标文件服务部分格式</w:t>
      </w:r>
      <w:bookmarkEnd w:id="372"/>
      <w:bookmarkEnd w:id="373"/>
      <w:bookmarkEnd w:id="374"/>
      <w:bookmarkEnd w:id="375"/>
    </w:p>
    <w:bookmarkEnd w:id="371"/>
    <w:p>
      <w:pPr>
        <w:pStyle w:val="4"/>
        <w:numPr>
          <w:ilvl w:val="0"/>
          <w:numId w:val="0"/>
        </w:numPr>
        <w:spacing w:before="156" w:beforeLines="50" w:after="156" w:afterLines="50"/>
        <w:rPr>
          <w:rFonts w:hint="eastAsia" w:ascii="仿宋" w:hAnsi="仿宋" w:eastAsia="仿宋" w:cs="仿宋"/>
          <w:color w:val="auto"/>
          <w:sz w:val="28"/>
          <w:szCs w:val="28"/>
          <w:highlight w:val="none"/>
        </w:rPr>
      </w:pPr>
      <w:bookmarkStart w:id="376" w:name="_Toc311640199"/>
      <w:bookmarkStart w:id="377" w:name="_Toc345658847"/>
      <w:bookmarkStart w:id="378" w:name="_Toc311020419"/>
      <w:bookmarkStart w:id="379" w:name="_Toc311560491"/>
      <w:bookmarkStart w:id="380" w:name="_Toc18292"/>
      <w:bookmarkStart w:id="381" w:name="_Toc3481"/>
      <w:bookmarkStart w:id="382" w:name="_Toc16565"/>
      <w:bookmarkStart w:id="383" w:name="_Toc21556"/>
      <w:r>
        <w:rPr>
          <w:rFonts w:hint="eastAsia" w:ascii="仿宋" w:hAnsi="仿宋" w:eastAsia="仿宋" w:cs="仿宋"/>
          <w:color w:val="auto"/>
          <w:sz w:val="28"/>
          <w:szCs w:val="28"/>
          <w:highlight w:val="none"/>
        </w:rPr>
        <w:t>一、</w:t>
      </w:r>
      <w:r>
        <w:rPr>
          <w:rFonts w:hint="default" w:ascii="仿宋" w:hAnsi="仿宋" w:eastAsia="仿宋" w:cs="仿宋"/>
          <w:color w:val="auto"/>
          <w:sz w:val="28"/>
          <w:szCs w:val="28"/>
          <w:highlight w:val="none"/>
          <w:lang w:val="en-US" w:eastAsia="zh-CN"/>
        </w:rPr>
        <w:t>云南师范大学附属世纪金源学校零星修缮项目报价</w:t>
      </w:r>
      <w:bookmarkEnd w:id="376"/>
      <w:bookmarkEnd w:id="377"/>
      <w:bookmarkEnd w:id="378"/>
      <w:bookmarkEnd w:id="379"/>
      <w:r>
        <w:rPr>
          <w:rFonts w:hint="eastAsia" w:ascii="仿宋" w:hAnsi="仿宋" w:eastAsia="仿宋" w:cs="仿宋"/>
          <w:color w:val="auto"/>
          <w:sz w:val="28"/>
          <w:szCs w:val="28"/>
          <w:highlight w:val="none"/>
        </w:rPr>
        <w:t>一览表</w:t>
      </w:r>
      <w:bookmarkEnd w:id="380"/>
      <w:bookmarkEnd w:id="381"/>
      <w:bookmarkEnd w:id="382"/>
      <w:bookmarkEnd w:id="383"/>
    </w:p>
    <w:tbl>
      <w:tblPr>
        <w:tblStyle w:val="37"/>
        <w:tblW w:w="95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1100"/>
        <w:gridCol w:w="2047"/>
        <w:gridCol w:w="624"/>
        <w:gridCol w:w="672"/>
        <w:gridCol w:w="1056"/>
        <w:gridCol w:w="1002"/>
        <w:gridCol w:w="1416"/>
        <w:gridCol w:w="9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73"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序号</w:t>
            </w:r>
          </w:p>
        </w:tc>
        <w:tc>
          <w:tcPr>
            <w:tcW w:w="11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名称</w:t>
            </w:r>
          </w:p>
        </w:tc>
        <w:tc>
          <w:tcPr>
            <w:tcW w:w="20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特征描述</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计量单位</w:t>
            </w:r>
          </w:p>
        </w:tc>
        <w:tc>
          <w:tcPr>
            <w:tcW w:w="6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预估</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工程量</w:t>
            </w: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控制单价</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综合单价报价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小计（元）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3"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11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6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10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小学部栏杆刷漆</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①高1.2m×长6.8m；</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②除锈打磨，刷一遍除锈底漆，再刷白色氟碳漆。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95.00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栏杆已锈蚀立柱脚检修加固</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①在现有立住脚正下方开孔；</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②在立柱中插入镀锌直径25mm水管；</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③焊接固定。</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通道门刷漆</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一楼楼梯口门刷漆</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①高3.7m×长3.7m，除锈打磨；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楼梯扶手修复</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①打磨铲除原有漆面；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③原子灰找平，打磨；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④面层木器漆。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幼儿园木爬梯及摆放柜</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③刷面漆。</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45.00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7</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漏水点</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①找出漏水位置；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②润泽楼漏水点采用防水材料处理；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③致远楼采用引流方式处理。</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点位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350.00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学生公寓卫生间</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①破除地面砖，找到漏水或堵塞位置；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②开挖至外部污水井，110pvc连接排放；</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③细砂回填至管顶15cm，原土回填至完成面。</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2800.00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致远楼卫生间</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①破除地面砖，查找并找到堵塞位置；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②查找问题更换管件；</w:t>
            </w:r>
          </w:p>
        </w:tc>
        <w:tc>
          <w:tcPr>
            <w:tcW w:w="6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卫生间洗手台</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①更换洗手台台面；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②长1.9m×宽0.6m。</w:t>
            </w:r>
          </w:p>
        </w:tc>
        <w:tc>
          <w:tcPr>
            <w:tcW w:w="6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卫生间地面砖</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①破除褪色老旧地砖；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②更换相同规格地砖；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③垃圾清运。</w:t>
            </w:r>
          </w:p>
        </w:tc>
        <w:tc>
          <w:tcPr>
            <w:tcW w:w="6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120.00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总报价（含税）</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6" w:hRule="atLeast"/>
        </w:trPr>
        <w:tc>
          <w:tcPr>
            <w:tcW w:w="9520"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1.综合单价为包干单价，包含人工费、主/辅材料费、利润、措施费、机械费、 规费、管理费、运输费、搬运费等一切费用。相关风险及不可预见因素，请报价方自行考量。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9520" w:type="dxa"/>
            <w:gridSpan w:val="9"/>
            <w:tcBorders>
              <w:top w:val="nil"/>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2.若投标方对此施工工艺存在异议，请及时书面提出，否则将视为默认接受此施工工艺处理，质保期内相关质量问题均有投标方负责免费处理。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7" w:hRule="atLeast"/>
        </w:trPr>
        <w:tc>
          <w:tcPr>
            <w:tcW w:w="9520" w:type="dxa"/>
            <w:gridSpan w:val="9"/>
            <w:tcBorders>
              <w:top w:val="nil"/>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3.现场情况请投标方自行提前踏勘、核实。踏勘联系人：胡老师，联系电话：0871-67217019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4" w:hRule="atLeast"/>
        </w:trPr>
        <w:tc>
          <w:tcPr>
            <w:tcW w:w="9520" w:type="dxa"/>
            <w:gridSpan w:val="9"/>
            <w:tcBorders>
              <w:top w:val="nil"/>
              <w:left w:val="single" w:color="000000" w:sz="4" w:space="0"/>
              <w:bottom w:val="nil"/>
              <w:right w:val="nil"/>
            </w:tcBorders>
            <w:shd w:val="clear" w:color="auto" w:fill="auto"/>
            <w:vAlign w:val="bottom"/>
          </w:tcPr>
          <w:p>
            <w:pPr>
              <w:keepNext w:val="0"/>
              <w:keepLines w:val="0"/>
              <w:widowControl/>
              <w:suppressLineNumbers w:val="0"/>
              <w:jc w:val="left"/>
              <w:textAlignment w:val="bottom"/>
              <w:rPr>
                <w:rFonts w:hint="eastAsia" w:ascii="楷体" w:hAnsi="楷体" w:eastAsia="楷体" w:cs="楷体"/>
                <w:i w:val="0"/>
                <w:iCs w:val="0"/>
                <w:color w:val="000000"/>
                <w:sz w:val="28"/>
                <w:szCs w:val="28"/>
                <w:u w:val="none"/>
              </w:rPr>
            </w:pPr>
            <w:r>
              <w:rPr>
                <w:rFonts w:hint="eastAsia" w:ascii="楷体" w:hAnsi="楷体" w:eastAsia="楷体" w:cs="楷体"/>
                <w:i w:val="0"/>
                <w:iCs w:val="0"/>
                <w:color w:val="000000"/>
                <w:kern w:val="0"/>
                <w:sz w:val="28"/>
                <w:szCs w:val="28"/>
                <w:u w:val="none"/>
                <w:lang w:val="en-US" w:eastAsia="zh-CN" w:bidi="ar"/>
              </w:rPr>
              <w:t xml:space="preserve">                                 供应商（盖章）：</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法定代表人（签字或盖章）：</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联系人：       联系电话：</w:t>
            </w:r>
            <w:r>
              <w:rPr>
                <w:rFonts w:hint="eastAsia" w:ascii="楷体" w:hAnsi="楷体" w:eastAsia="楷体" w:cs="楷体"/>
                <w:i w:val="0"/>
                <w:iCs w:val="0"/>
                <w:color w:val="000000"/>
                <w:kern w:val="0"/>
                <w:sz w:val="28"/>
                <w:szCs w:val="28"/>
                <w:u w:val="none"/>
                <w:lang w:val="en-US" w:eastAsia="zh-CN" w:bidi="ar"/>
              </w:rPr>
              <w:br w:type="textWrapping"/>
            </w:r>
            <w:r>
              <w:rPr>
                <w:rFonts w:hint="eastAsia" w:ascii="楷体" w:hAnsi="楷体" w:eastAsia="楷体" w:cs="楷体"/>
                <w:i w:val="0"/>
                <w:iCs w:val="0"/>
                <w:color w:val="000000"/>
                <w:kern w:val="0"/>
                <w:sz w:val="28"/>
                <w:szCs w:val="28"/>
                <w:u w:val="none"/>
                <w:lang w:val="en-US" w:eastAsia="zh-CN" w:bidi="ar"/>
              </w:rPr>
              <w:t xml:space="preserve">                                   日   期：   年   月   日</w:t>
            </w:r>
          </w:p>
        </w:tc>
      </w:tr>
    </w:tbl>
    <w:p>
      <w:pPr>
        <w:rPr>
          <w:rFonts w:hint="eastAsia" w:ascii="仿宋" w:hAnsi="仿宋" w:eastAsia="仿宋" w:cs="仿宋"/>
          <w:color w:val="auto"/>
          <w:highlight w:val="none"/>
        </w:rPr>
      </w:pPr>
      <w:r>
        <w:rPr>
          <w:rFonts w:hint="eastAsia" w:ascii="仿宋" w:hAnsi="仿宋" w:eastAsia="仿宋" w:cs="仿宋"/>
          <w:color w:val="auto"/>
          <w:highlight w:val="none"/>
        </w:rPr>
        <w:br w:type="page"/>
      </w:r>
    </w:p>
    <w:p>
      <w:pPr>
        <w:pStyle w:val="3"/>
        <w:numPr>
          <w:ilvl w:val="1"/>
          <w:numId w:val="0"/>
        </w:numPr>
        <w:spacing w:line="416" w:lineRule="auto"/>
        <w:jc w:val="center"/>
        <w:rPr>
          <w:rFonts w:hint="eastAsia" w:ascii="仿宋" w:hAnsi="仿宋" w:eastAsia="仿宋" w:cs="仿宋"/>
          <w:b/>
          <w:bCs/>
          <w:color w:val="auto"/>
          <w:kern w:val="2"/>
          <w:sz w:val="32"/>
          <w:szCs w:val="28"/>
          <w:highlight w:val="none"/>
          <w:lang w:val="en-US" w:eastAsia="zh-CN" w:bidi="ar-SA"/>
        </w:rPr>
      </w:pPr>
      <w:bookmarkStart w:id="384" w:name="_Toc6300"/>
      <w:bookmarkStart w:id="385" w:name="_Toc24082"/>
      <w:bookmarkStart w:id="386" w:name="_Toc27126"/>
      <w:r>
        <w:rPr>
          <w:rFonts w:hint="eastAsia" w:ascii="仿宋" w:hAnsi="仿宋" w:eastAsia="仿宋" w:cs="仿宋"/>
          <w:b/>
          <w:bCs/>
          <w:color w:val="auto"/>
          <w:kern w:val="2"/>
          <w:sz w:val="32"/>
          <w:szCs w:val="28"/>
          <w:highlight w:val="none"/>
          <w:lang w:val="en-US" w:eastAsia="zh-CN" w:bidi="ar-SA"/>
        </w:rPr>
        <w:t>第三部分 投标文件技术、服务部分格式</w:t>
      </w:r>
      <w:bookmarkEnd w:id="384"/>
      <w:bookmarkEnd w:id="385"/>
      <w:bookmarkEnd w:id="386"/>
    </w:p>
    <w:p>
      <w:pPr>
        <w:spacing w:line="360" w:lineRule="auto"/>
        <w:jc w:val="center"/>
        <w:outlineLvl w:val="2"/>
        <w:rPr>
          <w:rFonts w:hint="eastAsia" w:ascii="仿宋" w:hAnsi="仿宋" w:eastAsia="仿宋" w:cs="仿宋"/>
          <w:b/>
          <w:bCs/>
          <w:color w:val="auto"/>
          <w:sz w:val="28"/>
          <w:szCs w:val="28"/>
          <w:highlight w:val="none"/>
        </w:rPr>
      </w:pPr>
      <w:bookmarkStart w:id="387" w:name="_Toc2196"/>
      <w:r>
        <w:rPr>
          <w:rFonts w:hint="eastAsia" w:ascii="仿宋" w:hAnsi="仿宋" w:eastAsia="仿宋" w:cs="仿宋"/>
          <w:b/>
          <w:bCs/>
          <w:color w:val="auto"/>
          <w:sz w:val="28"/>
          <w:szCs w:val="28"/>
          <w:highlight w:val="none"/>
          <w:lang w:val="en-US" w:eastAsia="zh-CN"/>
        </w:rPr>
        <w:t>一、维修</w:t>
      </w:r>
      <w:r>
        <w:rPr>
          <w:rFonts w:hint="eastAsia" w:ascii="仿宋" w:hAnsi="仿宋" w:eastAsia="仿宋" w:cs="仿宋"/>
          <w:b/>
          <w:bCs/>
          <w:color w:val="auto"/>
          <w:sz w:val="28"/>
          <w:szCs w:val="28"/>
          <w:highlight w:val="none"/>
        </w:rPr>
        <w:t>方案</w:t>
      </w:r>
      <w:bookmarkEnd w:id="387"/>
    </w:p>
    <w:p>
      <w:pPr>
        <w:spacing w:line="360" w:lineRule="auto"/>
        <w:jc w:val="center"/>
        <w:outlineLvl w:val="9"/>
        <w:rPr>
          <w:rFonts w:hint="eastAsia" w:ascii="仿宋" w:hAnsi="仿宋" w:eastAsia="仿宋" w:cs="仿宋"/>
          <w:color w:val="auto"/>
          <w:szCs w:val="21"/>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center"/>
        <w:outlineLvl w:val="9"/>
        <w:rPr>
          <w:rFonts w:hint="eastAsia" w:ascii="仿宋" w:hAnsi="仿宋" w:eastAsia="仿宋" w:cs="仿宋"/>
          <w:b/>
          <w:bCs/>
          <w:color w:val="auto"/>
          <w:sz w:val="28"/>
          <w:szCs w:val="28"/>
          <w:highlight w:val="none"/>
          <w:lang w:val="en-US" w:eastAsia="zh-CN"/>
        </w:rPr>
      </w:pPr>
    </w:p>
    <w:p>
      <w:pPr>
        <w:spacing w:line="360" w:lineRule="auto"/>
        <w:jc w:val="center"/>
        <w:outlineLvl w:val="9"/>
        <w:rPr>
          <w:rFonts w:hint="eastAsia" w:ascii="仿宋" w:hAnsi="仿宋" w:eastAsia="仿宋" w:cs="仿宋"/>
          <w:b/>
          <w:bCs/>
          <w:color w:val="auto"/>
          <w:sz w:val="28"/>
          <w:szCs w:val="28"/>
          <w:highlight w:val="none"/>
          <w:lang w:val="en-US" w:eastAsia="zh-CN"/>
        </w:rPr>
      </w:pPr>
    </w:p>
    <w:p>
      <w:pPr>
        <w:spacing w:line="360" w:lineRule="auto"/>
        <w:jc w:val="center"/>
        <w:outlineLvl w:val="2"/>
        <w:rPr>
          <w:rFonts w:hint="default" w:ascii="仿宋" w:hAnsi="仿宋" w:eastAsia="仿宋" w:cs="仿宋"/>
          <w:b/>
          <w:bCs/>
          <w:color w:val="auto"/>
          <w:sz w:val="28"/>
          <w:szCs w:val="28"/>
          <w:highlight w:val="none"/>
          <w:lang w:val="en-US" w:eastAsia="zh-CN"/>
        </w:rPr>
      </w:pPr>
      <w:bookmarkStart w:id="388" w:name="_Toc13367"/>
      <w:r>
        <w:rPr>
          <w:rFonts w:hint="eastAsia" w:ascii="仿宋" w:hAnsi="仿宋" w:eastAsia="仿宋" w:cs="仿宋"/>
          <w:b/>
          <w:bCs/>
          <w:color w:val="auto"/>
          <w:sz w:val="28"/>
          <w:szCs w:val="28"/>
          <w:highlight w:val="none"/>
          <w:lang w:val="en-US" w:eastAsia="zh-CN"/>
        </w:rPr>
        <w:t>二、质保及</w:t>
      </w:r>
      <w:bookmarkEnd w:id="388"/>
      <w:r>
        <w:rPr>
          <w:rFonts w:hint="eastAsia" w:ascii="仿宋" w:hAnsi="仿宋" w:eastAsia="仿宋" w:cs="仿宋"/>
          <w:b/>
          <w:bCs/>
          <w:color w:val="auto"/>
          <w:sz w:val="28"/>
          <w:szCs w:val="28"/>
          <w:highlight w:val="none"/>
          <w:lang w:val="en-US" w:eastAsia="zh-CN"/>
        </w:rPr>
        <w:t>服务承诺</w:t>
      </w:r>
    </w:p>
    <w:p>
      <w:pPr>
        <w:spacing w:line="360" w:lineRule="auto"/>
        <w:jc w:val="center"/>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center"/>
        <w:outlineLvl w:val="9"/>
        <w:rPr>
          <w:rFonts w:hint="eastAsia" w:ascii="仿宋" w:hAnsi="仿宋" w:eastAsia="仿宋" w:cs="仿宋"/>
          <w:b/>
          <w:bCs/>
          <w:color w:val="auto"/>
          <w:sz w:val="28"/>
          <w:szCs w:val="28"/>
          <w:highlight w:val="none"/>
          <w:lang w:val="en-US" w:eastAsia="zh-CN"/>
        </w:rPr>
      </w:pPr>
    </w:p>
    <w:p>
      <w:pPr>
        <w:spacing w:line="360" w:lineRule="auto"/>
        <w:jc w:val="center"/>
        <w:outlineLvl w:val="9"/>
        <w:rPr>
          <w:rFonts w:hint="eastAsia" w:ascii="仿宋" w:hAnsi="仿宋" w:eastAsia="仿宋" w:cs="仿宋"/>
          <w:b/>
          <w:bCs/>
          <w:color w:val="auto"/>
          <w:sz w:val="28"/>
          <w:szCs w:val="28"/>
          <w:highlight w:val="none"/>
          <w:lang w:val="en-US" w:eastAsia="zh-CN"/>
        </w:rPr>
      </w:pPr>
    </w:p>
    <w:p>
      <w:pPr>
        <w:spacing w:line="360" w:lineRule="auto"/>
        <w:jc w:val="center"/>
        <w:outlineLvl w:val="2"/>
        <w:rPr>
          <w:rFonts w:hint="default" w:ascii="仿宋" w:hAnsi="仿宋" w:eastAsia="仿宋" w:cs="仿宋"/>
          <w:b w:val="0"/>
          <w:bCs w:val="0"/>
          <w:color w:val="auto"/>
          <w:sz w:val="28"/>
          <w:szCs w:val="28"/>
          <w:highlight w:val="none"/>
          <w:lang w:val="en-US" w:eastAsia="zh-CN"/>
        </w:rPr>
      </w:pPr>
      <w:bookmarkStart w:id="389" w:name="_Toc7256"/>
      <w:r>
        <w:rPr>
          <w:rFonts w:hint="eastAsia" w:ascii="仿宋" w:hAnsi="仿宋" w:eastAsia="仿宋" w:cs="仿宋"/>
          <w:b/>
          <w:bCs/>
          <w:color w:val="auto"/>
          <w:sz w:val="28"/>
          <w:szCs w:val="28"/>
          <w:highlight w:val="none"/>
          <w:lang w:val="en-US" w:eastAsia="zh-CN"/>
        </w:rPr>
        <w:t>三、</w:t>
      </w:r>
      <w:bookmarkEnd w:id="389"/>
      <w:r>
        <w:rPr>
          <w:rFonts w:hint="eastAsia" w:ascii="仿宋" w:hAnsi="仿宋" w:eastAsia="仿宋" w:cs="仿宋"/>
          <w:b/>
          <w:bCs/>
          <w:color w:val="auto"/>
          <w:sz w:val="28"/>
          <w:szCs w:val="28"/>
          <w:highlight w:val="none"/>
          <w:lang w:val="en-US" w:eastAsia="zh-CN"/>
        </w:rPr>
        <w:t>施工工期承诺</w:t>
      </w:r>
    </w:p>
    <w:p>
      <w:pPr>
        <w:spacing w:line="360" w:lineRule="auto"/>
        <w:jc w:val="center"/>
        <w:outlineLvl w:val="9"/>
        <w:rPr>
          <w:rFonts w:hint="eastAsia" w:ascii="仿宋" w:hAnsi="仿宋" w:eastAsia="仿宋" w:cs="仿宋"/>
          <w:b w:val="0"/>
          <w:bCs w:val="0"/>
          <w:color w:val="auto"/>
          <w:sz w:val="28"/>
          <w:szCs w:val="28"/>
          <w:highlight w:val="none"/>
          <w:lang w:eastAsia="zh-CN"/>
        </w:rPr>
      </w:pPr>
      <w:r>
        <w:rPr>
          <w:rFonts w:hint="eastAsia" w:ascii="仿宋" w:hAnsi="仿宋" w:eastAsia="仿宋" w:cs="仿宋"/>
          <w:b w:val="0"/>
          <w:bCs w:val="0"/>
          <w:color w:val="auto"/>
          <w:sz w:val="28"/>
          <w:szCs w:val="28"/>
          <w:highlight w:val="none"/>
          <w:lang w:eastAsia="zh-CN"/>
        </w:rPr>
        <w:t>（</w:t>
      </w:r>
      <w:r>
        <w:rPr>
          <w:rFonts w:hint="eastAsia" w:ascii="仿宋" w:hAnsi="仿宋" w:eastAsia="仿宋" w:cs="仿宋"/>
          <w:b w:val="0"/>
          <w:bCs w:val="0"/>
          <w:color w:val="auto"/>
          <w:sz w:val="28"/>
          <w:szCs w:val="28"/>
          <w:highlight w:val="none"/>
          <w:lang w:val="en-US" w:eastAsia="zh-CN"/>
        </w:rPr>
        <w:t>格式自拟</w:t>
      </w:r>
      <w:r>
        <w:rPr>
          <w:rFonts w:hint="eastAsia" w:ascii="仿宋" w:hAnsi="仿宋" w:eastAsia="仿宋" w:cs="仿宋"/>
          <w:b w:val="0"/>
          <w:bCs w:val="0"/>
          <w:color w:val="auto"/>
          <w:sz w:val="28"/>
          <w:szCs w:val="28"/>
          <w:highlight w:val="none"/>
          <w:lang w:eastAsia="zh-CN"/>
        </w:rPr>
        <w:t>）</w:t>
      </w:r>
    </w:p>
    <w:p>
      <w:pPr>
        <w:spacing w:line="360" w:lineRule="auto"/>
        <w:jc w:val="center"/>
        <w:outlineLvl w:val="2"/>
        <w:rPr>
          <w:rFonts w:hint="default"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四、施工工艺</w:t>
      </w:r>
    </w:p>
    <w:p>
      <w:pPr>
        <w:spacing w:line="360" w:lineRule="auto"/>
        <w:jc w:val="center"/>
        <w:outlineLvl w:val="9"/>
        <w:rPr>
          <w:rFonts w:hint="eastAsia" w:ascii="仿宋" w:hAnsi="仿宋" w:eastAsia="仿宋" w:cs="仿宋"/>
          <w:b/>
          <w:bCs/>
          <w:color w:val="auto"/>
          <w:sz w:val="28"/>
          <w:szCs w:val="28"/>
          <w:highlight w:val="none"/>
          <w:lang w:val="en-US" w:eastAsia="zh-CN"/>
        </w:rPr>
      </w:pPr>
    </w:p>
    <w:p>
      <w:pPr>
        <w:numPr>
          <w:ilvl w:val="0"/>
          <w:numId w:val="0"/>
        </w:numPr>
        <w:spacing w:line="360" w:lineRule="auto"/>
        <w:jc w:val="both"/>
        <w:outlineLvl w:val="9"/>
        <w:rPr>
          <w:rFonts w:hint="eastAsia" w:ascii="仿宋" w:hAnsi="仿宋" w:eastAsia="仿宋" w:cs="仿宋"/>
          <w:b/>
          <w:bCs/>
          <w:color w:val="auto"/>
          <w:sz w:val="28"/>
          <w:szCs w:val="28"/>
          <w:highlight w:val="none"/>
          <w:lang w:val="en-US" w:eastAsia="zh-CN"/>
        </w:rPr>
      </w:pPr>
      <w:bookmarkStart w:id="390" w:name="_Toc15814"/>
    </w:p>
    <w:p>
      <w:pPr>
        <w:numPr>
          <w:ilvl w:val="0"/>
          <w:numId w:val="0"/>
        </w:numPr>
        <w:spacing w:line="360" w:lineRule="auto"/>
        <w:jc w:val="center"/>
        <w:outlineLvl w:val="2"/>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四、投标人认为须提供的其他技术文件，格式自拟。</w:t>
      </w:r>
    </w:p>
    <w:p>
      <w:pPr>
        <w:numPr>
          <w:ilvl w:val="0"/>
          <w:numId w:val="0"/>
        </w:numPr>
        <w:spacing w:line="360" w:lineRule="auto"/>
        <w:jc w:val="both"/>
        <w:outlineLvl w:val="9"/>
        <w:rPr>
          <w:rFonts w:hint="eastAsia" w:ascii="仿宋" w:hAnsi="仿宋" w:eastAsia="仿宋" w:cs="仿宋"/>
          <w:b/>
          <w:bCs/>
          <w:color w:val="auto"/>
          <w:sz w:val="28"/>
          <w:szCs w:val="28"/>
          <w:highlight w:val="none"/>
          <w:lang w:val="en-US" w:eastAsia="zh-CN"/>
        </w:rPr>
      </w:pPr>
    </w:p>
    <w:bookmarkEnd w:id="390"/>
    <w:p>
      <w:pPr>
        <w:pStyle w:val="127"/>
        <w:jc w:val="left"/>
        <w:rPr>
          <w:rFonts w:hint="eastAsia" w:ascii="仿宋" w:hAnsi="仿宋" w:eastAsia="仿宋" w:cs="仿宋"/>
          <w:color w:val="auto"/>
          <w:kern w:val="2"/>
          <w:sz w:val="21"/>
          <w:szCs w:val="22"/>
          <w:highlight w:val="none"/>
        </w:rPr>
      </w:pPr>
      <w:r>
        <w:rPr>
          <w:rFonts w:hint="eastAsia" w:ascii="仿宋" w:hAnsi="仿宋" w:eastAsia="仿宋" w:cs="仿宋"/>
          <w:color w:val="auto"/>
          <w:kern w:val="2"/>
          <w:sz w:val="21"/>
          <w:szCs w:val="22"/>
          <w:highlight w:val="none"/>
        </w:rPr>
        <w:t xml:space="preserve"> </w:t>
      </w:r>
    </w:p>
    <w:p>
      <w:pPr>
        <w:spacing w:line="360" w:lineRule="auto"/>
        <w:ind w:firstLine="417" w:firstLineChars="199"/>
        <w:rPr>
          <w:rFonts w:hint="eastAsia" w:ascii="仿宋" w:hAnsi="仿宋" w:eastAsia="仿宋" w:cs="仿宋"/>
          <w:color w:val="auto"/>
          <w:szCs w:val="21"/>
          <w:highlight w:val="none"/>
        </w:rPr>
      </w:pPr>
    </w:p>
    <w:p>
      <w:pPr>
        <w:spacing w:line="360" w:lineRule="auto"/>
        <w:ind w:firstLine="420" w:firstLineChars="200"/>
        <w:rPr>
          <w:rFonts w:hint="eastAsia" w:ascii="仿宋" w:hAnsi="仿宋" w:eastAsia="仿宋" w:cs="仿宋"/>
          <w:b/>
          <w:color w:val="auto"/>
          <w:sz w:val="22"/>
          <w:szCs w:val="22"/>
          <w:highlight w:val="none"/>
        </w:rPr>
      </w:pPr>
      <w:r>
        <w:rPr>
          <w:rFonts w:hint="eastAsia" w:ascii="仿宋" w:hAnsi="仿宋" w:eastAsia="仿宋" w:cs="仿宋"/>
          <w:color w:val="auto"/>
          <w:szCs w:val="21"/>
          <w:highlight w:val="none"/>
        </w:rPr>
        <w:br w:type="page"/>
      </w:r>
    </w:p>
    <w:p>
      <w:pPr>
        <w:pStyle w:val="2"/>
        <w:numPr>
          <w:ilvl w:val="0"/>
          <w:numId w:val="0"/>
        </w:numPr>
        <w:ind w:left="-284" w:leftChars="0" w:hanging="284" w:firstLineChars="0"/>
        <w:jc w:val="center"/>
        <w:rPr>
          <w:rFonts w:hint="eastAsia" w:ascii="仿宋" w:hAnsi="仿宋" w:eastAsia="仿宋" w:cs="仿宋"/>
          <w:color w:val="auto"/>
          <w:sz w:val="52"/>
          <w:szCs w:val="32"/>
          <w:highlight w:val="none"/>
        </w:rPr>
      </w:pPr>
      <w:bookmarkStart w:id="391" w:name="_Toc1640"/>
      <w:bookmarkStart w:id="392" w:name="_Toc8384"/>
      <w:bookmarkStart w:id="393" w:name="_Toc32162"/>
      <w:bookmarkStart w:id="394" w:name="_Toc1800"/>
      <w:bookmarkStart w:id="395" w:name="_Toc15158"/>
      <w:r>
        <w:rPr>
          <w:rFonts w:hint="eastAsia" w:ascii="仿宋" w:hAnsi="仿宋" w:eastAsia="仿宋" w:cs="仿宋"/>
          <w:b/>
          <w:bCs/>
          <w:color w:val="auto"/>
          <w:kern w:val="0"/>
          <w:sz w:val="52"/>
          <w:szCs w:val="32"/>
          <w:highlight w:val="none"/>
          <w:lang w:val="en-US" w:eastAsia="zh-CN" w:bidi="ar-SA"/>
        </w:rPr>
        <w:t>第四章</w:t>
      </w:r>
      <w:r>
        <w:rPr>
          <w:rFonts w:hint="eastAsia" w:ascii="仿宋" w:hAnsi="仿宋" w:eastAsia="仿宋" w:cs="仿宋"/>
          <w:color w:val="auto"/>
          <w:sz w:val="52"/>
          <w:szCs w:val="32"/>
          <w:highlight w:val="none"/>
        </w:rPr>
        <w:t xml:space="preserve"> </w:t>
      </w:r>
      <w:bookmarkEnd w:id="391"/>
      <w:bookmarkEnd w:id="392"/>
      <w:bookmarkEnd w:id="393"/>
      <w:bookmarkEnd w:id="394"/>
      <w:bookmarkStart w:id="396" w:name="_Toc12253"/>
      <w:r>
        <w:rPr>
          <w:rFonts w:hint="eastAsia" w:ascii="仿宋" w:hAnsi="仿宋" w:eastAsia="仿宋" w:cs="仿宋"/>
          <w:color w:val="auto"/>
          <w:sz w:val="52"/>
          <w:szCs w:val="32"/>
          <w:highlight w:val="none"/>
        </w:rPr>
        <w:t>项目需求</w:t>
      </w:r>
      <w:bookmarkEnd w:id="395"/>
      <w:bookmarkEnd w:id="396"/>
    </w:p>
    <w:p>
      <w:pPr>
        <w:keepNext w:val="0"/>
        <w:keepLines w:val="0"/>
        <w:pageBreakBefore w:val="0"/>
        <w:kinsoku/>
        <w:wordWrap/>
        <w:overflowPunct/>
        <w:topLinePunct w:val="0"/>
        <w:autoSpaceDE/>
        <w:autoSpaceDN/>
        <w:bidi w:val="0"/>
        <w:adjustRightInd/>
        <w:snapToGrid/>
        <w:spacing w:line="360" w:lineRule="auto"/>
        <w:textAlignment w:val="auto"/>
        <w:outlineLvl w:val="1"/>
        <w:rPr>
          <w:rFonts w:hint="eastAsia" w:ascii="仿宋" w:hAnsi="仿宋" w:eastAsia="仿宋" w:cs="仿宋"/>
          <w:b/>
          <w:color w:val="auto"/>
          <w:sz w:val="21"/>
          <w:szCs w:val="21"/>
          <w:highlight w:val="none"/>
        </w:rPr>
      </w:pPr>
      <w:bookmarkStart w:id="397" w:name="_Toc4137"/>
      <w:bookmarkStart w:id="398" w:name="_Toc18168"/>
      <w:bookmarkStart w:id="399" w:name="_Toc27264"/>
      <w:bookmarkStart w:id="400" w:name="_Toc6902"/>
      <w:bookmarkStart w:id="401" w:name="_Toc1526"/>
      <w:bookmarkStart w:id="402" w:name="_Toc25064"/>
      <w:r>
        <w:rPr>
          <w:rFonts w:hint="eastAsia" w:ascii="仿宋" w:hAnsi="仿宋" w:eastAsia="仿宋" w:cs="仿宋"/>
          <w:b/>
          <w:color w:val="auto"/>
          <w:sz w:val="21"/>
          <w:szCs w:val="21"/>
          <w:highlight w:val="none"/>
        </w:rPr>
        <w:t>一、采购标的需实现的功能或者目标；</w:t>
      </w:r>
      <w:bookmarkEnd w:id="397"/>
    </w:p>
    <w:p>
      <w:pPr>
        <w:keepNext w:val="0"/>
        <w:keepLines w:val="0"/>
        <w:pageBreakBefore w:val="0"/>
        <w:kinsoku/>
        <w:wordWrap/>
        <w:overflowPunct/>
        <w:topLinePunct w:val="0"/>
        <w:autoSpaceDE/>
        <w:autoSpaceDN/>
        <w:bidi w:val="0"/>
        <w:adjustRightInd/>
        <w:snapToGrid/>
        <w:spacing w:line="360" w:lineRule="auto"/>
        <w:ind w:firstLine="42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满足</w:t>
      </w:r>
      <w:r>
        <w:rPr>
          <w:rFonts w:hint="eastAsia" w:ascii="仿宋" w:hAnsi="仿宋" w:eastAsia="仿宋" w:cs="仿宋"/>
          <w:color w:val="auto"/>
          <w:sz w:val="21"/>
          <w:szCs w:val="21"/>
          <w:highlight w:val="none"/>
          <w:lang w:eastAsia="zh-CN"/>
        </w:rPr>
        <w:t>云南师范大学实云南师范大学附属世纪金源学校</w:t>
      </w:r>
      <w:r>
        <w:rPr>
          <w:rFonts w:hint="eastAsia" w:ascii="仿宋" w:hAnsi="仿宋" w:eastAsia="仿宋" w:cs="仿宋"/>
          <w:color w:val="auto"/>
          <w:sz w:val="21"/>
          <w:szCs w:val="21"/>
          <w:highlight w:val="none"/>
        </w:rPr>
        <w:t>需求。</w:t>
      </w:r>
    </w:p>
    <w:p>
      <w:pPr>
        <w:keepNext w:val="0"/>
        <w:keepLines w:val="0"/>
        <w:pageBreakBefore w:val="0"/>
        <w:kinsoku/>
        <w:wordWrap/>
        <w:overflowPunct/>
        <w:topLinePunct w:val="0"/>
        <w:autoSpaceDE/>
        <w:autoSpaceDN/>
        <w:bidi w:val="0"/>
        <w:adjustRightInd/>
        <w:snapToGrid/>
        <w:spacing w:line="360" w:lineRule="auto"/>
        <w:textAlignment w:val="auto"/>
        <w:outlineLvl w:val="1"/>
        <w:rPr>
          <w:rFonts w:hint="eastAsia" w:ascii="仿宋" w:hAnsi="仿宋" w:eastAsia="仿宋" w:cs="仿宋"/>
          <w:b/>
          <w:color w:val="auto"/>
          <w:spacing w:val="-6"/>
          <w:sz w:val="21"/>
          <w:szCs w:val="21"/>
          <w:highlight w:val="none"/>
        </w:rPr>
      </w:pPr>
      <w:bookmarkStart w:id="403" w:name="_Toc4664"/>
      <w:r>
        <w:rPr>
          <w:rFonts w:hint="eastAsia" w:ascii="仿宋" w:hAnsi="仿宋" w:eastAsia="仿宋" w:cs="仿宋"/>
          <w:b/>
          <w:color w:val="auto"/>
          <w:spacing w:val="-6"/>
          <w:sz w:val="21"/>
          <w:szCs w:val="21"/>
          <w:highlight w:val="none"/>
        </w:rPr>
        <w:t>二、采购标的需执行的国家相关标准、行业标准、地方标准或者其他标准、规范；</w:t>
      </w:r>
      <w:bookmarkEnd w:id="403"/>
    </w:p>
    <w:p>
      <w:pPr>
        <w:keepNext w:val="0"/>
        <w:keepLines w:val="0"/>
        <w:pageBreakBefore w:val="0"/>
        <w:kinsoku/>
        <w:wordWrap/>
        <w:overflowPunct/>
        <w:topLinePunct w:val="0"/>
        <w:autoSpaceDE/>
        <w:autoSpaceDN/>
        <w:bidi w:val="0"/>
        <w:adjustRightInd/>
        <w:snapToGrid/>
        <w:spacing w:line="360" w:lineRule="auto"/>
        <w:ind w:firstLine="420"/>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满足</w:t>
      </w:r>
      <w:r>
        <w:rPr>
          <w:rFonts w:hint="eastAsia" w:ascii="仿宋" w:hAnsi="仿宋" w:eastAsia="仿宋" w:cs="仿宋"/>
          <w:color w:val="auto"/>
          <w:sz w:val="21"/>
          <w:szCs w:val="21"/>
          <w:highlight w:val="none"/>
        </w:rPr>
        <w:t>国家</w:t>
      </w:r>
      <w:r>
        <w:rPr>
          <w:rFonts w:hint="eastAsia" w:ascii="仿宋" w:hAnsi="仿宋" w:eastAsia="仿宋" w:cs="仿宋"/>
          <w:color w:val="auto"/>
          <w:sz w:val="21"/>
          <w:szCs w:val="21"/>
          <w:highlight w:val="none"/>
          <w:lang w:val="en-US" w:eastAsia="zh-CN"/>
        </w:rPr>
        <w:t>及</w:t>
      </w:r>
      <w:r>
        <w:rPr>
          <w:rFonts w:hint="eastAsia" w:ascii="仿宋" w:hAnsi="仿宋" w:eastAsia="仿宋" w:cs="仿宋"/>
          <w:color w:val="auto"/>
          <w:sz w:val="21"/>
          <w:szCs w:val="21"/>
          <w:highlight w:val="none"/>
        </w:rPr>
        <w:t>其他相关标准和规范要求，达到一次性验收合格。</w:t>
      </w:r>
    </w:p>
    <w:p>
      <w:pPr>
        <w:keepNext w:val="0"/>
        <w:keepLines w:val="0"/>
        <w:pageBreakBefore w:val="0"/>
        <w:numPr>
          <w:ilvl w:val="0"/>
          <w:numId w:val="21"/>
        </w:numPr>
        <w:kinsoku/>
        <w:wordWrap/>
        <w:overflowPunct/>
        <w:topLinePunct w:val="0"/>
        <w:autoSpaceDE/>
        <w:autoSpaceDN/>
        <w:bidi w:val="0"/>
        <w:adjustRightInd/>
        <w:snapToGrid/>
        <w:spacing w:line="360" w:lineRule="auto"/>
        <w:textAlignment w:val="auto"/>
        <w:outlineLvl w:val="1"/>
        <w:rPr>
          <w:rFonts w:hint="eastAsia" w:ascii="仿宋" w:hAnsi="仿宋" w:eastAsia="仿宋" w:cs="仿宋"/>
          <w:b/>
          <w:color w:val="auto"/>
          <w:sz w:val="21"/>
          <w:szCs w:val="21"/>
          <w:highlight w:val="none"/>
        </w:rPr>
      </w:pPr>
      <w:bookmarkStart w:id="404" w:name="_Toc3905"/>
      <w:r>
        <w:rPr>
          <w:rFonts w:hint="eastAsia" w:ascii="仿宋" w:hAnsi="仿宋" w:eastAsia="仿宋" w:cs="仿宋"/>
          <w:b/>
          <w:color w:val="auto"/>
          <w:sz w:val="21"/>
          <w:szCs w:val="21"/>
          <w:highlight w:val="none"/>
        </w:rPr>
        <w:t>采购标的需满足的质量、安全、技术规格、物理特性等要求；</w:t>
      </w:r>
      <w:bookmarkEnd w:id="404"/>
    </w:p>
    <w:tbl>
      <w:tblPr>
        <w:tblStyle w:val="37"/>
        <w:tblW w:w="102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969"/>
        <w:gridCol w:w="2258"/>
        <w:gridCol w:w="766"/>
        <w:gridCol w:w="816"/>
        <w:gridCol w:w="1125"/>
        <w:gridCol w:w="1896"/>
        <w:gridCol w:w="16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0210" w:type="dxa"/>
            <w:gridSpan w:val="8"/>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创艺简楷体" w:hAnsi="创艺简楷体" w:eastAsia="创艺简楷体" w:cs="创艺简楷体"/>
                <w:b/>
                <w:bCs/>
                <w:i w:val="0"/>
                <w:iCs w:val="0"/>
                <w:color w:val="000000"/>
                <w:sz w:val="40"/>
                <w:szCs w:val="40"/>
                <w:u w:val="none"/>
              </w:rPr>
            </w:pPr>
            <w:r>
              <w:rPr>
                <w:rFonts w:hint="default" w:ascii="创艺简楷体" w:hAnsi="创艺简楷体" w:eastAsia="创艺简楷体" w:cs="创艺简楷体"/>
                <w:b/>
                <w:bCs/>
                <w:i w:val="0"/>
                <w:iCs w:val="0"/>
                <w:color w:val="000000"/>
                <w:kern w:val="0"/>
                <w:sz w:val="40"/>
                <w:szCs w:val="40"/>
                <w:u w:val="none"/>
                <w:lang w:val="en-US" w:eastAsia="zh-CN" w:bidi="ar"/>
              </w:rPr>
              <w:t>云南师范大学附属金源学校零星修缮项目</w:t>
            </w:r>
            <w:r>
              <w:rPr>
                <w:rFonts w:hint="eastAsia" w:ascii="创艺简楷体" w:hAnsi="创艺简楷体" w:eastAsia="创艺简楷体" w:cs="创艺简楷体"/>
                <w:b/>
                <w:bCs/>
                <w:i w:val="0"/>
                <w:iCs w:val="0"/>
                <w:color w:val="000000"/>
                <w:kern w:val="0"/>
                <w:sz w:val="40"/>
                <w:szCs w:val="40"/>
                <w:u w:val="none"/>
                <w:lang w:val="en-US" w:eastAsia="zh-CN" w:bidi="ar"/>
              </w:rPr>
              <w:t>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210"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创艺简楷体" w:hAnsi="创艺简楷体" w:eastAsia="创艺简楷体" w:cs="创艺简楷体"/>
                <w:b/>
                <w:bCs/>
                <w:i w:val="0"/>
                <w:iCs w:val="0"/>
                <w:color w:val="000000"/>
                <w:sz w:val="40"/>
                <w:szCs w:val="4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序号</w:t>
            </w:r>
          </w:p>
        </w:tc>
        <w:tc>
          <w:tcPr>
            <w:tcW w:w="9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名称</w:t>
            </w:r>
          </w:p>
        </w:tc>
        <w:tc>
          <w:tcPr>
            <w:tcW w:w="22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特征描述</w:t>
            </w:r>
          </w:p>
        </w:tc>
        <w:tc>
          <w:tcPr>
            <w:tcW w:w="7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计量单位</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工程数量</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综合单价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最高限价（元）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9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2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7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（元）</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0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小学部栏杆刷漆</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①高1.2m×长6.8m；</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②除锈打磨，刷一遍除锈底漆，再刷白色氟碳漆。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65</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95.00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6175.00 </w:t>
            </w:r>
          </w:p>
        </w:tc>
        <w:tc>
          <w:tcPr>
            <w:tcW w:w="16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栏杆已锈蚀立柱脚检修加固</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①在现有立住脚正下方开孔；</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②在立柱中插入镀锌直径25mm水管；</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③焊接固定。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个</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1600.00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通道门刷漆</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after="240" w:afterAutospacing="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r>
              <w:rPr>
                <w:rFonts w:hint="eastAsia" w:ascii="楷体" w:hAnsi="楷体" w:eastAsia="楷体" w:cs="楷体"/>
                <w:i w:val="0"/>
                <w:iCs w:val="0"/>
                <w:color w:val="000000"/>
                <w:kern w:val="0"/>
                <w:sz w:val="24"/>
                <w:szCs w:val="24"/>
                <w:u w:val="none"/>
                <w:lang w:val="en-US" w:eastAsia="zh-CN" w:bidi="ar"/>
              </w:rPr>
              <w:br w:type="textWrapping"/>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樘</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1600.00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4</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一楼楼梯口门刷漆</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after="240" w:afterAutospacing="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①高3.7m×长3.7m，除锈打磨；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②墙面做好保护，然后刷白色氟碳漆；</w:t>
            </w:r>
            <w:r>
              <w:rPr>
                <w:rFonts w:hint="eastAsia" w:ascii="楷体" w:hAnsi="楷体" w:eastAsia="楷体" w:cs="楷体"/>
                <w:i w:val="0"/>
                <w:iCs w:val="0"/>
                <w:color w:val="000000"/>
                <w:kern w:val="0"/>
                <w:sz w:val="24"/>
                <w:szCs w:val="24"/>
                <w:u w:val="none"/>
                <w:lang w:val="en-US" w:eastAsia="zh-CN" w:bidi="ar"/>
              </w:rPr>
              <w:br w:type="textWrapping"/>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82</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5740.00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楼梯扶手修复</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①打磨铲除原有漆面；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③原子灰找平，打磨；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④面层木器漆。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m</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120</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7800.00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6</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幼儿园木爬梯及摆放柜</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②刷木器漆底漆，打磨；</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③刷面漆。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95</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45.00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4275.00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7</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漏水点</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①找出漏水位置；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②润泽楼漏水点采用防水材料处理；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③致远楼采用引流方式处理。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点位</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350.00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700.00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8</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学生公寓卫生间</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①破除地面砖，找到漏水或堵塞位置；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②开挖至外部污水井，110pvc连接排放；</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③细砂回填至管顶15cm，原土回填至完成面。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个</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2800.00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2800.00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9</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致远楼卫生间</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①破除地面砖，查找并找到堵塞位置；</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②查找问题更换管件；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个</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2500.00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洗手台</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①更换洗手台台面；</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②长1.9m×宽0.6m。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个</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500.00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5500.00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11</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卫生间地面砖</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①破除褪色老旧地砖；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②更换相同规格地砖；</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③垃圾清运。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50</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120.00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6000.00 </w:t>
            </w:r>
          </w:p>
        </w:tc>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总报价（含税）</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44690.00</w:t>
            </w:r>
          </w:p>
        </w:tc>
        <w:tc>
          <w:tcPr>
            <w:tcW w:w="168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楷体" w:hAnsi="楷体" w:eastAsia="楷体" w:cs="楷体"/>
                <w:i w:val="0"/>
                <w:iCs w:val="0"/>
                <w:color w:val="000000"/>
                <w:sz w:val="24"/>
                <w:szCs w:val="24"/>
                <w:u w:val="none"/>
              </w:rPr>
            </w:pPr>
          </w:p>
        </w:tc>
      </w:tr>
    </w:tbl>
    <w:p>
      <w:pPr>
        <w:keepNext w:val="0"/>
        <w:keepLines w:val="0"/>
        <w:pageBreakBefore w:val="0"/>
        <w:numPr>
          <w:ilvl w:val="0"/>
          <w:numId w:val="0"/>
        </w:numPr>
        <w:kinsoku/>
        <w:wordWrap/>
        <w:overflowPunct/>
        <w:topLinePunct w:val="0"/>
        <w:autoSpaceDE/>
        <w:autoSpaceDN/>
        <w:bidi w:val="0"/>
        <w:adjustRightInd/>
        <w:snapToGrid/>
        <w:spacing w:line="360" w:lineRule="auto"/>
        <w:textAlignment w:val="auto"/>
        <w:outlineLvl w:val="1"/>
        <w:rPr>
          <w:rFonts w:hint="eastAsia" w:ascii="仿宋" w:hAnsi="仿宋" w:eastAsia="仿宋" w:cs="仿宋"/>
          <w:b/>
          <w:color w:val="auto"/>
          <w:sz w:val="21"/>
          <w:szCs w:val="21"/>
          <w:highlight w:val="none"/>
        </w:rPr>
      </w:pPr>
    </w:p>
    <w:p>
      <w:pPr>
        <w:widowControl/>
        <w:spacing w:line="360" w:lineRule="auto"/>
        <w:jc w:val="left"/>
        <w:outlineLvl w:val="1"/>
        <w:rPr>
          <w:rFonts w:ascii="仿宋" w:hAnsi="仿宋" w:eastAsia="仿宋" w:cs="仿宋"/>
          <w:b/>
          <w:bCs/>
          <w:color w:val="auto"/>
          <w:kern w:val="0"/>
          <w:sz w:val="24"/>
          <w:highlight w:val="none"/>
        </w:rPr>
      </w:pPr>
      <w:bookmarkStart w:id="405" w:name="_Toc15540"/>
      <w:r>
        <w:rPr>
          <w:rFonts w:hint="eastAsia" w:ascii="仿宋" w:hAnsi="仿宋" w:eastAsia="仿宋" w:cs="仿宋"/>
          <w:b/>
          <w:bCs/>
          <w:color w:val="auto"/>
          <w:kern w:val="0"/>
          <w:sz w:val="24"/>
          <w:highlight w:val="none"/>
        </w:rPr>
        <w:t>四、</w:t>
      </w:r>
      <w:r>
        <w:rPr>
          <w:rFonts w:hint="eastAsia" w:ascii="仿宋" w:hAnsi="仿宋" w:eastAsia="仿宋" w:cs="仿宋"/>
          <w:b/>
          <w:bCs/>
          <w:color w:val="auto"/>
          <w:kern w:val="0"/>
          <w:sz w:val="24"/>
          <w:highlight w:val="none"/>
          <w:lang w:val="en-US" w:eastAsia="zh-CN"/>
        </w:rPr>
        <w:t>维修</w:t>
      </w:r>
      <w:r>
        <w:rPr>
          <w:rFonts w:hint="eastAsia" w:ascii="仿宋" w:hAnsi="仿宋" w:eastAsia="仿宋" w:cs="仿宋"/>
          <w:b/>
          <w:bCs/>
          <w:color w:val="auto"/>
          <w:kern w:val="0"/>
          <w:sz w:val="24"/>
          <w:highlight w:val="none"/>
        </w:rPr>
        <w:t>项目交付或者实施的时间和地点</w:t>
      </w:r>
      <w:bookmarkEnd w:id="405"/>
    </w:p>
    <w:p>
      <w:pPr>
        <w:widowControl/>
        <w:spacing w:line="360" w:lineRule="auto"/>
        <w:ind w:firstLine="482"/>
        <w:jc w:val="left"/>
        <w:rPr>
          <w:rFonts w:ascii="仿宋" w:hAnsi="仿宋" w:eastAsia="仿宋" w:cs="仿宋"/>
          <w:color w:val="auto"/>
          <w:sz w:val="22"/>
          <w:szCs w:val="22"/>
          <w:highlight w:val="none"/>
        </w:rPr>
      </w:pPr>
      <w:r>
        <w:rPr>
          <w:rFonts w:hint="eastAsia" w:ascii="仿宋" w:hAnsi="仿宋" w:eastAsia="仿宋" w:cs="仿宋"/>
          <w:color w:val="auto"/>
          <w:kern w:val="0"/>
          <w:sz w:val="22"/>
          <w:szCs w:val="22"/>
          <w:highlight w:val="none"/>
        </w:rPr>
        <w:t>（一）签订合同后根据</w:t>
      </w:r>
      <w:r>
        <w:rPr>
          <w:rFonts w:hint="eastAsia" w:ascii="仿宋" w:hAnsi="仿宋" w:eastAsia="仿宋" w:cs="仿宋"/>
          <w:color w:val="auto"/>
          <w:kern w:val="0"/>
          <w:sz w:val="22"/>
          <w:szCs w:val="22"/>
          <w:highlight w:val="none"/>
          <w:lang w:val="en-US" w:eastAsia="zh-CN"/>
        </w:rPr>
        <w:t>供应商承诺时间</w:t>
      </w:r>
      <w:r>
        <w:rPr>
          <w:rFonts w:hint="eastAsia" w:ascii="仿宋" w:hAnsi="仿宋" w:eastAsia="仿宋" w:cs="仿宋"/>
          <w:color w:val="auto"/>
          <w:kern w:val="0"/>
          <w:sz w:val="22"/>
          <w:szCs w:val="22"/>
          <w:highlight w:val="none"/>
        </w:rPr>
        <w:t>进行维修施工。</w:t>
      </w:r>
    </w:p>
    <w:p>
      <w:pPr>
        <w:widowControl/>
        <w:spacing w:line="360" w:lineRule="auto"/>
        <w:ind w:firstLine="482"/>
        <w:jc w:val="left"/>
        <w:rPr>
          <w:rFonts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（二）其他商务要求：</w:t>
      </w:r>
    </w:p>
    <w:p>
      <w:pPr>
        <w:widowControl/>
        <w:spacing w:line="360" w:lineRule="auto"/>
        <w:ind w:left="197" w:leftChars="94" w:firstLine="441"/>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1.合同履行期限：</w:t>
      </w:r>
      <w:r>
        <w:rPr>
          <w:rFonts w:hint="eastAsia" w:ascii="仿宋" w:hAnsi="仿宋" w:eastAsia="仿宋" w:cs="仿宋"/>
          <w:color w:val="auto"/>
          <w:kern w:val="0"/>
          <w:sz w:val="22"/>
          <w:szCs w:val="22"/>
          <w:highlight w:val="none"/>
          <w:lang w:val="en-US" w:eastAsia="zh-CN"/>
        </w:rPr>
        <w:t>签订合同后根据学校要求进行维修施工</w:t>
      </w:r>
      <w:r>
        <w:rPr>
          <w:rFonts w:hint="eastAsia" w:ascii="仿宋" w:hAnsi="仿宋" w:eastAsia="仿宋" w:cs="仿宋"/>
          <w:color w:val="auto"/>
          <w:kern w:val="0"/>
          <w:sz w:val="22"/>
          <w:szCs w:val="22"/>
          <w:highlight w:val="none"/>
          <w:lang w:eastAsia="zh-CN"/>
        </w:rPr>
        <w:t>（供应商可根据自身情况投报最短合同履行期限，包含</w:t>
      </w:r>
      <w:r>
        <w:rPr>
          <w:rFonts w:hint="eastAsia" w:ascii="仿宋" w:hAnsi="仿宋" w:eastAsia="仿宋" w:cs="仿宋"/>
          <w:color w:val="auto"/>
          <w:kern w:val="0"/>
          <w:sz w:val="22"/>
          <w:szCs w:val="22"/>
          <w:highlight w:val="none"/>
          <w:lang w:val="en-US" w:eastAsia="zh-CN"/>
        </w:rPr>
        <w:t>施工</w:t>
      </w:r>
      <w:r>
        <w:rPr>
          <w:rFonts w:hint="eastAsia" w:ascii="仿宋" w:hAnsi="仿宋" w:eastAsia="仿宋" w:cs="仿宋"/>
          <w:color w:val="auto"/>
          <w:kern w:val="0"/>
          <w:sz w:val="22"/>
          <w:szCs w:val="22"/>
          <w:highlight w:val="none"/>
          <w:lang w:eastAsia="zh-CN"/>
        </w:rPr>
        <w:t>、安装、调试并交付使用）</w:t>
      </w:r>
      <w:r>
        <w:rPr>
          <w:rFonts w:hint="eastAsia" w:ascii="仿宋" w:hAnsi="仿宋" w:eastAsia="仿宋" w:cs="仿宋"/>
          <w:color w:val="auto"/>
          <w:kern w:val="0"/>
          <w:sz w:val="22"/>
          <w:szCs w:val="22"/>
          <w:highlight w:val="none"/>
        </w:rPr>
        <w:t>。</w:t>
      </w:r>
    </w:p>
    <w:p>
      <w:pPr>
        <w:widowControl/>
        <w:spacing w:line="360" w:lineRule="auto"/>
        <w:ind w:left="197" w:leftChars="94" w:firstLine="441"/>
        <w:jc w:val="left"/>
        <w:rPr>
          <w:rFonts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2.交付地点：</w:t>
      </w:r>
      <w:r>
        <w:rPr>
          <w:rFonts w:hint="eastAsia" w:ascii="仿宋" w:hAnsi="仿宋" w:eastAsia="仿宋" w:cs="仿宋"/>
          <w:color w:val="auto"/>
          <w:kern w:val="0"/>
          <w:sz w:val="22"/>
          <w:szCs w:val="22"/>
          <w:highlight w:val="none"/>
          <w:lang w:eastAsia="zh-CN"/>
        </w:rPr>
        <w:t>云南师范大学附属世纪金源学校指定地点</w:t>
      </w:r>
      <w:r>
        <w:rPr>
          <w:rFonts w:hint="eastAsia" w:ascii="仿宋" w:hAnsi="仿宋" w:eastAsia="仿宋" w:cs="仿宋"/>
          <w:color w:val="auto"/>
          <w:kern w:val="0"/>
          <w:sz w:val="22"/>
          <w:szCs w:val="22"/>
          <w:highlight w:val="none"/>
        </w:rPr>
        <w:t>。</w:t>
      </w:r>
    </w:p>
    <w:p>
      <w:pPr>
        <w:widowControl/>
        <w:spacing w:line="360" w:lineRule="auto"/>
        <w:jc w:val="left"/>
        <w:outlineLvl w:val="1"/>
        <w:rPr>
          <w:rFonts w:ascii="仿宋" w:hAnsi="仿宋" w:eastAsia="仿宋" w:cs="仿宋"/>
          <w:b/>
          <w:bCs/>
          <w:color w:val="auto"/>
          <w:kern w:val="0"/>
          <w:sz w:val="24"/>
          <w:highlight w:val="none"/>
        </w:rPr>
      </w:pPr>
      <w:bookmarkStart w:id="406" w:name="_Toc31776"/>
      <w:r>
        <w:rPr>
          <w:rFonts w:hint="eastAsia" w:ascii="仿宋" w:hAnsi="仿宋" w:eastAsia="仿宋" w:cs="仿宋"/>
          <w:b/>
          <w:bCs/>
          <w:color w:val="auto"/>
          <w:kern w:val="0"/>
          <w:sz w:val="24"/>
          <w:highlight w:val="none"/>
        </w:rPr>
        <w:t>五、采购标的需满足的服务标准、期限、效率等要求</w:t>
      </w:r>
      <w:bookmarkEnd w:id="406"/>
    </w:p>
    <w:p>
      <w:pPr>
        <w:pStyle w:val="33"/>
        <w:widowControl/>
        <w:spacing w:before="0" w:beforeAutospacing="0" w:after="0" w:afterAutospacing="0" w:line="360" w:lineRule="auto"/>
        <w:ind w:firstLine="420"/>
        <w:rPr>
          <w:rFonts w:hint="eastAsia" w:ascii="仿宋" w:hAnsi="仿宋" w:eastAsia="仿宋" w:cs="仿宋"/>
          <w:color w:val="auto"/>
          <w:sz w:val="22"/>
          <w:szCs w:val="22"/>
          <w:highlight w:val="none"/>
        </w:rPr>
      </w:pPr>
      <w:r>
        <w:rPr>
          <w:rFonts w:hint="eastAsia" w:ascii="宋体" w:hAnsi="宋体" w:eastAsia="宋体" w:cs="宋体"/>
          <w:color w:val="auto"/>
          <w:sz w:val="22"/>
          <w:szCs w:val="22"/>
          <w:highlight w:val="none"/>
          <w:lang w:val="en-US" w:eastAsia="zh-CN"/>
        </w:rPr>
        <w:t>①</w:t>
      </w:r>
      <w:r>
        <w:rPr>
          <w:rFonts w:hint="eastAsia" w:ascii="仿宋" w:hAnsi="仿宋" w:eastAsia="仿宋" w:cs="仿宋"/>
          <w:color w:val="auto"/>
          <w:sz w:val="22"/>
          <w:szCs w:val="22"/>
          <w:highlight w:val="none"/>
        </w:rPr>
        <w:t>质保期内和质保期后，成交供应商应保证接到通知后及时进行现场处理，并应在售后服务承诺书中注明售后服务响应时间以及保证措施。若系统发生重大故障，收到采购人通知后，成交供应商必需在2小时内派维修人员上门修理。</w:t>
      </w:r>
    </w:p>
    <w:p>
      <w:pPr>
        <w:pStyle w:val="33"/>
        <w:widowControl/>
        <w:spacing w:before="0" w:beforeAutospacing="0" w:after="0" w:afterAutospacing="0" w:line="360" w:lineRule="auto"/>
        <w:ind w:firstLine="420"/>
        <w:rPr>
          <w:rFonts w:ascii="仿宋" w:hAnsi="仿宋" w:eastAsia="仿宋" w:cs="仿宋"/>
          <w:color w:val="auto"/>
          <w:spacing w:val="-6"/>
          <w:sz w:val="22"/>
          <w:szCs w:val="22"/>
          <w:highlight w:val="none"/>
        </w:rPr>
      </w:pPr>
      <w:r>
        <w:rPr>
          <w:rFonts w:hint="eastAsia" w:ascii="仿宋" w:hAnsi="仿宋" w:eastAsia="仿宋" w:cs="仿宋"/>
          <w:color w:val="auto"/>
          <w:sz w:val="22"/>
          <w:szCs w:val="22"/>
          <w:highlight w:val="none"/>
        </w:rPr>
        <w:t>②对于故障维修无论是在质保期内，还是在质保期外都应及时给予答复和解决，质保期满后，若系统发生重大故障，收到采购人通知后，成交供应商必需在2小时内派维修人员上门修理。质保期满后，出现故障只收取成本费。</w:t>
      </w:r>
    </w:p>
    <w:p>
      <w:pPr>
        <w:widowControl/>
        <w:spacing w:line="360" w:lineRule="auto"/>
        <w:jc w:val="left"/>
        <w:outlineLvl w:val="1"/>
        <w:rPr>
          <w:rFonts w:ascii="仿宋" w:hAnsi="仿宋" w:eastAsia="仿宋" w:cs="仿宋"/>
          <w:b/>
          <w:bCs/>
          <w:color w:val="auto"/>
          <w:kern w:val="0"/>
          <w:sz w:val="24"/>
          <w:highlight w:val="none"/>
        </w:rPr>
      </w:pPr>
      <w:bookmarkStart w:id="407" w:name="_Toc1601"/>
      <w:r>
        <w:rPr>
          <w:rFonts w:hint="eastAsia" w:ascii="仿宋" w:hAnsi="仿宋" w:eastAsia="仿宋" w:cs="仿宋"/>
          <w:b/>
          <w:bCs/>
          <w:color w:val="auto"/>
          <w:kern w:val="0"/>
          <w:sz w:val="24"/>
          <w:highlight w:val="none"/>
        </w:rPr>
        <w:t>六、采购标的的验收标准</w:t>
      </w:r>
      <w:bookmarkEnd w:id="407"/>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（一）设备验收：</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到达甲方指定地点后甲方统一初验是否符合合同要求；</w:t>
      </w:r>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（二）项目验收：乙方负责</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安装和调试，完工后，甲方测试是否合格并满足技术要求；</w:t>
      </w:r>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（三）实作性操作验收：</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是否正常运作3个月。</w:t>
      </w:r>
    </w:p>
    <w:p>
      <w:pPr>
        <w:widowControl/>
        <w:spacing w:line="360" w:lineRule="auto"/>
        <w:jc w:val="left"/>
        <w:outlineLvl w:val="1"/>
        <w:rPr>
          <w:rFonts w:ascii="仿宋" w:hAnsi="仿宋" w:eastAsia="仿宋" w:cs="仿宋"/>
          <w:b/>
          <w:bCs/>
          <w:color w:val="auto"/>
          <w:kern w:val="0"/>
          <w:sz w:val="24"/>
          <w:highlight w:val="none"/>
        </w:rPr>
      </w:pPr>
      <w:bookmarkStart w:id="408" w:name="_Toc28579"/>
      <w:r>
        <w:rPr>
          <w:rFonts w:hint="eastAsia" w:ascii="仿宋" w:hAnsi="仿宋" w:eastAsia="仿宋" w:cs="仿宋"/>
          <w:b/>
          <w:bCs/>
          <w:color w:val="auto"/>
          <w:kern w:val="0"/>
          <w:sz w:val="24"/>
          <w:highlight w:val="none"/>
        </w:rPr>
        <w:t>七、采购标的的其他技术、服务等要求</w:t>
      </w:r>
      <w:bookmarkEnd w:id="408"/>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（一）保证所供</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为原装正品，及设备使用所需的备品备件。</w:t>
      </w:r>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（二）供应商须保证本项目中所投</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配套及预装的所有软件均为正版软件。</w:t>
      </w:r>
    </w:p>
    <w:p>
      <w:pPr>
        <w:pStyle w:val="33"/>
        <w:widowControl/>
        <w:spacing w:before="0" w:beforeAutospacing="0" w:after="0" w:afterAutospacing="0" w:line="360" w:lineRule="auto"/>
        <w:ind w:firstLine="420"/>
        <w:rPr>
          <w:rFonts w:ascii="仿宋" w:hAnsi="仿宋" w:eastAsia="仿宋" w:cs="仿宋"/>
          <w:color w:val="auto"/>
          <w:sz w:val="22"/>
          <w:szCs w:val="22"/>
          <w:highlight w:val="none"/>
        </w:rPr>
      </w:pPr>
      <w:r>
        <w:rPr>
          <w:rFonts w:hint="eastAsia" w:ascii="仿宋" w:hAnsi="仿宋" w:eastAsia="仿宋" w:cs="仿宋"/>
          <w:color w:val="auto"/>
          <w:sz w:val="22"/>
          <w:szCs w:val="22"/>
          <w:highlight w:val="none"/>
        </w:rPr>
        <w:t>（三）供应商所供</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必须是技术成熟产品，并且满足采购方工作领域相关技术标准、规范、生产工作要求。</w:t>
      </w:r>
    </w:p>
    <w:p>
      <w:pPr>
        <w:spacing w:line="400" w:lineRule="exact"/>
        <w:ind w:firstLine="220" w:firstLineChars="100"/>
        <w:outlineLvl w:val="9"/>
        <w:rPr>
          <w:rFonts w:hint="eastAsia" w:ascii="仿宋" w:hAnsi="仿宋" w:eastAsia="仿宋" w:cs="仿宋"/>
          <w:color w:val="auto"/>
          <w:sz w:val="52"/>
          <w:szCs w:val="32"/>
          <w:highlight w:val="none"/>
        </w:rPr>
      </w:pPr>
      <w:r>
        <w:rPr>
          <w:rFonts w:hint="eastAsia" w:ascii="仿宋" w:hAnsi="仿宋" w:eastAsia="仿宋" w:cs="仿宋"/>
          <w:color w:val="auto"/>
          <w:sz w:val="22"/>
          <w:szCs w:val="22"/>
          <w:highlight w:val="none"/>
        </w:rPr>
        <w:t>（四）供应商所供</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必须满足采购、验收要求，若所供</w:t>
      </w:r>
      <w:r>
        <w:rPr>
          <w:rFonts w:hint="eastAsia" w:ascii="仿宋" w:hAnsi="仿宋" w:eastAsia="仿宋" w:cs="仿宋"/>
          <w:color w:val="auto"/>
          <w:sz w:val="22"/>
          <w:szCs w:val="22"/>
          <w:highlight w:val="none"/>
          <w:lang w:val="en-US" w:eastAsia="zh-CN"/>
        </w:rPr>
        <w:t>产品</w:t>
      </w:r>
      <w:r>
        <w:rPr>
          <w:rFonts w:hint="eastAsia" w:ascii="仿宋" w:hAnsi="仿宋" w:eastAsia="仿宋" w:cs="仿宋"/>
          <w:color w:val="auto"/>
          <w:sz w:val="22"/>
          <w:szCs w:val="22"/>
          <w:highlight w:val="none"/>
        </w:rPr>
        <w:t>任何一项技术指标满足不了技术要求，则供应商无条件换货、退货，产生的一切后果或经济损失由供应商承担，招标人不承担任何责任。</w:t>
      </w:r>
    </w:p>
    <w:p>
      <w:pPr>
        <w:rPr>
          <w:rFonts w:hint="eastAsia" w:ascii="仿宋" w:hAnsi="仿宋" w:eastAsia="仿宋" w:cs="仿宋"/>
          <w:b/>
          <w:bCs/>
          <w:color w:val="auto"/>
          <w:kern w:val="0"/>
          <w:sz w:val="52"/>
          <w:szCs w:val="32"/>
          <w:highlight w:val="none"/>
          <w:lang w:val="en-US" w:eastAsia="zh-CN" w:bidi="ar-SA"/>
        </w:rPr>
      </w:pPr>
      <w:r>
        <w:rPr>
          <w:rFonts w:hint="eastAsia" w:ascii="仿宋" w:hAnsi="仿宋" w:eastAsia="仿宋" w:cs="仿宋"/>
          <w:b/>
          <w:bCs/>
          <w:color w:val="auto"/>
          <w:kern w:val="0"/>
          <w:sz w:val="52"/>
          <w:szCs w:val="32"/>
          <w:highlight w:val="none"/>
          <w:lang w:val="en-US" w:eastAsia="zh-CN" w:bidi="ar-SA"/>
        </w:rPr>
        <w:br w:type="page"/>
      </w:r>
    </w:p>
    <w:p>
      <w:pPr>
        <w:pStyle w:val="2"/>
        <w:numPr>
          <w:ilvl w:val="0"/>
          <w:numId w:val="0"/>
        </w:numPr>
        <w:ind w:left="-284" w:leftChars="0" w:hanging="284" w:firstLineChars="0"/>
        <w:jc w:val="center"/>
        <w:rPr>
          <w:rFonts w:hint="eastAsia" w:ascii="仿宋" w:hAnsi="仿宋" w:eastAsia="仿宋" w:cs="仿宋"/>
          <w:color w:val="auto"/>
          <w:sz w:val="52"/>
          <w:szCs w:val="32"/>
          <w:highlight w:val="none"/>
        </w:rPr>
      </w:pPr>
      <w:bookmarkStart w:id="409" w:name="_Toc14685"/>
      <w:r>
        <w:rPr>
          <w:rFonts w:hint="eastAsia" w:ascii="仿宋" w:hAnsi="仿宋" w:eastAsia="仿宋" w:cs="仿宋"/>
          <w:b/>
          <w:bCs/>
          <w:color w:val="auto"/>
          <w:kern w:val="0"/>
          <w:sz w:val="52"/>
          <w:szCs w:val="32"/>
          <w:highlight w:val="none"/>
          <w:lang w:val="en-US" w:eastAsia="zh-CN" w:bidi="ar-SA"/>
        </w:rPr>
        <w:t>第五章</w:t>
      </w:r>
      <w:r>
        <w:rPr>
          <w:rFonts w:hint="eastAsia" w:ascii="仿宋" w:hAnsi="仿宋" w:eastAsia="仿宋" w:cs="仿宋"/>
          <w:color w:val="auto"/>
          <w:sz w:val="52"/>
          <w:szCs w:val="32"/>
          <w:highlight w:val="none"/>
        </w:rPr>
        <w:t xml:space="preserve"> </w:t>
      </w:r>
      <w:bookmarkEnd w:id="398"/>
      <w:bookmarkEnd w:id="399"/>
      <w:bookmarkEnd w:id="400"/>
      <w:bookmarkEnd w:id="401"/>
      <w:bookmarkEnd w:id="402"/>
      <w:bookmarkStart w:id="410" w:name="_Toc10172"/>
      <w:r>
        <w:rPr>
          <w:rFonts w:hint="eastAsia" w:ascii="仿宋" w:hAnsi="仿宋" w:eastAsia="仿宋" w:cs="仿宋"/>
          <w:color w:val="auto"/>
          <w:sz w:val="52"/>
          <w:szCs w:val="32"/>
          <w:highlight w:val="none"/>
        </w:rPr>
        <w:t>评审办法</w:t>
      </w:r>
      <w:bookmarkEnd w:id="409"/>
      <w:bookmarkEnd w:id="410"/>
    </w:p>
    <w:p>
      <w:pPr>
        <w:pStyle w:val="3"/>
        <w:numPr>
          <w:ilvl w:val="0"/>
          <w:numId w:val="0"/>
        </w:numPr>
        <w:spacing w:before="0"/>
        <w:ind w:left="425"/>
        <w:rPr>
          <w:rFonts w:hint="eastAsia" w:ascii="仿宋" w:hAnsi="仿宋" w:eastAsia="仿宋" w:cs="仿宋"/>
          <w:color w:val="auto"/>
          <w:szCs w:val="28"/>
          <w:highlight w:val="none"/>
        </w:rPr>
      </w:pPr>
      <w:bookmarkStart w:id="411" w:name="_Toc4845"/>
      <w:bookmarkStart w:id="412" w:name="_Toc13057"/>
      <w:bookmarkStart w:id="413" w:name="_Toc19178"/>
      <w:bookmarkStart w:id="414" w:name="_Toc12780"/>
      <w:bookmarkStart w:id="415" w:name="_Toc11917"/>
      <w:bookmarkStart w:id="416" w:name="_Toc19197"/>
      <w:bookmarkStart w:id="417" w:name="_Toc2779"/>
      <w:bookmarkStart w:id="418" w:name="_Toc5357"/>
      <w:r>
        <w:rPr>
          <w:rFonts w:hint="eastAsia" w:ascii="仿宋" w:hAnsi="仿宋" w:eastAsia="仿宋" w:cs="仿宋"/>
          <w:color w:val="auto"/>
          <w:szCs w:val="28"/>
          <w:highlight w:val="none"/>
        </w:rPr>
        <w:t>评审程序和方法前附表</w:t>
      </w:r>
      <w:bookmarkEnd w:id="411"/>
      <w:bookmarkEnd w:id="412"/>
      <w:bookmarkEnd w:id="413"/>
      <w:bookmarkEnd w:id="414"/>
      <w:bookmarkEnd w:id="415"/>
      <w:bookmarkEnd w:id="416"/>
      <w:bookmarkEnd w:id="417"/>
      <w:bookmarkEnd w:id="418"/>
    </w:p>
    <w:tbl>
      <w:tblPr>
        <w:tblStyle w:val="37"/>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750"/>
        <w:gridCol w:w="595"/>
        <w:gridCol w:w="1563"/>
        <w:gridCol w:w="70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blHeader/>
        </w:trPr>
        <w:tc>
          <w:tcPr>
            <w:tcW w:w="134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条款号</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审 查 内 容</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21"/>
                <w:szCs w:val="21"/>
                <w:highlight w:val="none"/>
              </w:rPr>
            </w:pPr>
            <w:r>
              <w:rPr>
                <w:rFonts w:hint="eastAsia" w:ascii="仿宋" w:hAnsi="仿宋" w:eastAsia="仿宋" w:cs="仿宋"/>
                <w:b/>
                <w:color w:val="auto"/>
                <w:sz w:val="21"/>
                <w:szCs w:val="21"/>
                <w:highlight w:val="none"/>
              </w:rPr>
              <w:t>审 查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2.1</w:t>
            </w:r>
            <w:r>
              <w:rPr>
                <w:rFonts w:hint="eastAsia" w:ascii="仿宋" w:hAnsi="仿宋" w:eastAsia="仿宋" w:cs="仿宋"/>
                <w:color w:val="auto"/>
                <w:sz w:val="21"/>
                <w:szCs w:val="21"/>
                <w:highlight w:val="none"/>
              </w:rPr>
              <w:t>实质性要求审查标准</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资格条件</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符合第二章“投标人须知”第4.1项规定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投标人承诺书</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有法定代表人或其委托代理人签字或盖章，并盖单位章；符合第四章“响应文件格式”中规定的格式及内容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投标人单位名称</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与营业执照一致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法定代表人身份证明书</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符合比选文件规定格式及内容，并盖单位公章；响应文件正本中法定代表人身份证明书为原件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639"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法定代表人授权委托书</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有法定代表人及其委托代理人签字或盖章，并盖单位公章；符合比选文件规定格式及内容；响应</w:t>
            </w:r>
            <w:r>
              <w:rPr>
                <w:rFonts w:hint="eastAsia" w:ascii="仿宋" w:hAnsi="仿宋" w:eastAsia="仿宋" w:cs="仿宋"/>
                <w:color w:val="auto"/>
                <w:sz w:val="21"/>
                <w:szCs w:val="21"/>
                <w:highlight w:val="none"/>
                <w:lang w:val="en-US" w:eastAsia="zh-CN"/>
              </w:rPr>
              <w:t>文件</w:t>
            </w:r>
            <w:r>
              <w:rPr>
                <w:rFonts w:hint="eastAsia" w:ascii="仿宋" w:hAnsi="仿宋" w:eastAsia="仿宋" w:cs="仿宋"/>
                <w:color w:val="auto"/>
                <w:sz w:val="21"/>
                <w:szCs w:val="21"/>
                <w:highlight w:val="none"/>
              </w:rPr>
              <w:t>正本中法定代表人授权委托书为原件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响应文件签署、盖章</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响应文件按比选文件要求签署、盖章的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比选有效期</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符合第二章“投标人须知”第11.1项规定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比选报价</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报价均未超预算及最高限价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响应文件的编制</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符合比选文件格式及资料提供的要求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其它实质性要求</w:t>
            </w:r>
          </w:p>
        </w:tc>
        <w:tc>
          <w:tcPr>
            <w:tcW w:w="7012" w:type="dxa"/>
            <w:vAlign w:val="center"/>
          </w:tcPr>
          <w:p>
            <w:pPr>
              <w:keepNext w:val="0"/>
              <w:keepLines w:val="0"/>
              <w:pageBreakBefore w:val="0"/>
              <w:widowControl w:val="0"/>
              <w:numPr>
                <w:ilvl w:val="0"/>
                <w:numId w:val="22"/>
              </w:num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rPr>
              <w:t>实质性响应比选文件中★号条款；</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（2）响应文件未含有招标人不能接受的附加条件；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（3）无法律、法规和比选文件规定的其他无效情形。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无串通投标情形</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(1)不同投标人的响应文件由同一单位或者个人编制；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(2)不同投标人委托同一单位或者个人办理投标事宜；</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(3)不同投标人的响应文件载明的项目管理成员或者联系人员为同一人；</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(4)不同投标人的响应文件异常一致或者报价呈规律性差异；</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(5)不同投标人的响应文件相互混装；</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(6)不同投标人的比选保证金从同一单位或者个人的账户转出。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2.2.1</w:t>
            </w:r>
          </w:p>
        </w:tc>
        <w:tc>
          <w:tcPr>
            <w:tcW w:w="1563" w:type="dxa"/>
            <w:vMerge w:val="restart"/>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分值构成</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（满分100分）</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投标人的评标总得分＝F1＋F2</w:t>
            </w:r>
            <w:r>
              <w:rPr>
                <w:rFonts w:hint="eastAsia" w:ascii="仿宋" w:hAnsi="仿宋" w:eastAsia="仿宋" w:cs="仿宋"/>
                <w:color w:val="auto"/>
                <w:sz w:val="21"/>
                <w:szCs w:val="21"/>
                <w:highlight w:val="none"/>
                <w:lang w:val="en-US" w:eastAsia="zh-CN"/>
              </w:rPr>
              <w:t>+F3</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F1、F2</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F3</w:t>
            </w:r>
            <w:r>
              <w:rPr>
                <w:rFonts w:hint="eastAsia" w:ascii="仿宋" w:hAnsi="仿宋" w:eastAsia="仿宋" w:cs="仿宋"/>
                <w:color w:val="auto"/>
                <w:sz w:val="21"/>
                <w:szCs w:val="21"/>
                <w:highlight w:val="none"/>
              </w:rPr>
              <w:t>分别为报价部分、</w:t>
            </w:r>
            <w:r>
              <w:rPr>
                <w:rFonts w:hint="eastAsia" w:ascii="仿宋" w:hAnsi="仿宋" w:eastAsia="仿宋" w:cs="仿宋"/>
                <w:color w:val="auto"/>
                <w:sz w:val="21"/>
                <w:szCs w:val="21"/>
                <w:highlight w:val="none"/>
                <w:lang w:val="en-US" w:eastAsia="zh-CN"/>
              </w:rPr>
              <w:t>技术</w:t>
            </w:r>
            <w:r>
              <w:rPr>
                <w:rFonts w:hint="eastAsia" w:ascii="仿宋" w:hAnsi="仿宋" w:eastAsia="仿宋" w:cs="仿宋"/>
                <w:color w:val="auto"/>
                <w:sz w:val="21"/>
                <w:szCs w:val="21"/>
                <w:highlight w:val="none"/>
              </w:rPr>
              <w:t>部分</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highlight w:val="none"/>
                <w:lang w:val="en-US" w:eastAsia="zh-CN"/>
              </w:rPr>
              <w:t>服务部分3</w:t>
            </w:r>
            <w:r>
              <w:rPr>
                <w:rFonts w:hint="eastAsia" w:ascii="仿宋" w:hAnsi="仿宋" w:eastAsia="仿宋" w:cs="仿宋"/>
                <w:color w:val="auto"/>
                <w:sz w:val="21"/>
                <w:szCs w:val="21"/>
                <w:highlight w:val="none"/>
              </w:rPr>
              <w:t>项评分因素的汇总得分。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1563" w:type="dxa"/>
            <w:vMerge w:val="continue"/>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报价部分F1：</w:t>
            </w:r>
            <w:r>
              <w:rPr>
                <w:rFonts w:hint="eastAsia" w:ascii="仿宋" w:hAnsi="仿宋" w:eastAsia="仿宋" w:cs="仿宋"/>
                <w:color w:val="auto"/>
                <w:sz w:val="21"/>
                <w:szCs w:val="21"/>
                <w:highlight w:val="none"/>
                <w:lang w:val="en-US" w:eastAsia="zh-CN"/>
              </w:rPr>
              <w:t>30</w:t>
            </w:r>
            <w:r>
              <w:rPr>
                <w:rFonts w:hint="eastAsia" w:ascii="仿宋" w:hAnsi="仿宋" w:eastAsia="仿宋" w:cs="仿宋"/>
                <w:color w:val="auto"/>
                <w:sz w:val="21"/>
                <w:szCs w:val="21"/>
                <w:highlight w:val="none"/>
              </w:rPr>
              <w:t>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技术</w:t>
            </w:r>
            <w:r>
              <w:rPr>
                <w:rFonts w:hint="eastAsia" w:ascii="仿宋" w:hAnsi="仿宋" w:eastAsia="仿宋" w:cs="仿宋"/>
                <w:color w:val="auto"/>
                <w:sz w:val="21"/>
                <w:szCs w:val="21"/>
                <w:highlight w:val="none"/>
              </w:rPr>
              <w:t>部分F2：</w:t>
            </w:r>
            <w:r>
              <w:rPr>
                <w:rFonts w:hint="eastAsia" w:ascii="仿宋" w:hAnsi="仿宋" w:eastAsia="仿宋" w:cs="仿宋"/>
                <w:color w:val="auto"/>
                <w:sz w:val="21"/>
                <w:szCs w:val="21"/>
                <w:highlight w:val="none"/>
                <w:lang w:val="en-US" w:eastAsia="zh-CN"/>
              </w:rPr>
              <w:t>10</w:t>
            </w:r>
            <w:r>
              <w:rPr>
                <w:rFonts w:hint="eastAsia" w:ascii="仿宋" w:hAnsi="仿宋" w:eastAsia="仿宋" w:cs="仿宋"/>
                <w:color w:val="auto"/>
                <w:sz w:val="21"/>
                <w:szCs w:val="21"/>
                <w:highlight w:val="none"/>
              </w:rPr>
              <w:t>分；</w:t>
            </w:r>
          </w:p>
          <w:p>
            <w:pPr>
              <w:pStyle w:val="13"/>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服务部分F3：60分。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134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2.2.2</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报价部分F1评分标准</w:t>
            </w:r>
          </w:p>
        </w:tc>
        <w:tc>
          <w:tcPr>
            <w:tcW w:w="7012" w:type="dxa"/>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rPr>
              <w:t>满足比选文件要求且报价最低</w:t>
            </w:r>
            <w:r>
              <w:rPr>
                <w:rFonts w:hint="eastAsia" w:ascii="仿宋" w:hAnsi="仿宋" w:eastAsia="仿宋" w:cs="仿宋"/>
                <w:color w:val="auto"/>
                <w:sz w:val="21"/>
                <w:szCs w:val="21"/>
                <w:highlight w:val="none"/>
                <w:lang w:val="en-US" w:eastAsia="zh-CN"/>
              </w:rPr>
              <w:t>综合单价报价</w:t>
            </w:r>
            <w:r>
              <w:rPr>
                <w:rFonts w:hint="eastAsia" w:ascii="仿宋" w:hAnsi="仿宋" w:eastAsia="仿宋" w:cs="仿宋"/>
                <w:color w:val="auto"/>
                <w:sz w:val="21"/>
                <w:szCs w:val="21"/>
                <w:highlight w:val="none"/>
              </w:rPr>
              <w:t>的投标人的价格为评标基准价，其价格分为满分。其他投标人的价格分统一按照下列公式计算：比选报价得分=（评标基准价/投标总价）×</w:t>
            </w:r>
            <w:r>
              <w:rPr>
                <w:rFonts w:hint="eastAsia" w:ascii="仿宋" w:hAnsi="仿宋" w:eastAsia="仿宋" w:cs="仿宋"/>
                <w:color w:val="auto"/>
                <w:sz w:val="21"/>
                <w:szCs w:val="21"/>
                <w:highlight w:val="none"/>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1345" w:type="dxa"/>
            <w:gridSpan w:val="2"/>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bookmarkStart w:id="419" w:name="_Toc18510"/>
            <w:r>
              <w:rPr>
                <w:rFonts w:hint="eastAsia" w:ascii="仿宋" w:hAnsi="仿宋" w:eastAsia="仿宋" w:cs="仿宋"/>
                <w:color w:val="auto"/>
                <w:sz w:val="21"/>
                <w:szCs w:val="21"/>
                <w:highlight w:val="none"/>
              </w:rPr>
              <w:t>条款号</w:t>
            </w:r>
            <w:bookmarkEnd w:id="419"/>
          </w:p>
        </w:tc>
        <w:tc>
          <w:tcPr>
            <w:tcW w:w="1563" w:type="dxa"/>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bookmarkStart w:id="420" w:name="_Toc11689"/>
            <w:r>
              <w:rPr>
                <w:rFonts w:hint="eastAsia" w:ascii="仿宋" w:hAnsi="仿宋" w:eastAsia="仿宋" w:cs="仿宋"/>
                <w:color w:val="auto"/>
                <w:sz w:val="21"/>
                <w:szCs w:val="21"/>
                <w:highlight w:val="none"/>
              </w:rPr>
              <w:t>评分因素</w:t>
            </w:r>
            <w:bookmarkEnd w:id="420"/>
          </w:p>
        </w:tc>
        <w:tc>
          <w:tcPr>
            <w:tcW w:w="7012" w:type="dxa"/>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bookmarkStart w:id="421" w:name="_Toc18949"/>
            <w:r>
              <w:rPr>
                <w:rFonts w:hint="eastAsia" w:ascii="仿宋" w:hAnsi="仿宋" w:eastAsia="仿宋" w:cs="仿宋"/>
                <w:color w:val="auto"/>
                <w:sz w:val="21"/>
                <w:szCs w:val="21"/>
                <w:highlight w:val="none"/>
              </w:rPr>
              <w:t>评分标准</w:t>
            </w:r>
            <w:bookmarkEnd w:id="421"/>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trPr>
        <w:tc>
          <w:tcPr>
            <w:tcW w:w="750" w:type="dxa"/>
            <w:vMerge w:val="restart"/>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lang w:val="en-US" w:eastAsia="zh-CN" w:bidi="ar-SA"/>
              </w:rPr>
            </w:pPr>
            <w:bookmarkStart w:id="422" w:name="_Toc6940"/>
            <w:r>
              <w:rPr>
                <w:rFonts w:hint="eastAsia" w:ascii="仿宋" w:hAnsi="仿宋" w:eastAsia="仿宋" w:cs="仿宋"/>
                <w:color w:val="auto"/>
                <w:kern w:val="2"/>
                <w:sz w:val="21"/>
                <w:szCs w:val="21"/>
                <w:highlight w:val="none"/>
              </w:rPr>
              <w:t>2.2.3（2</w:t>
            </w:r>
            <w:r>
              <w:rPr>
                <w:rFonts w:hint="eastAsia" w:ascii="仿宋" w:hAnsi="仿宋" w:eastAsia="仿宋" w:cs="仿宋"/>
                <w:color w:val="auto"/>
                <w:sz w:val="21"/>
                <w:szCs w:val="21"/>
                <w:highlight w:val="none"/>
              </w:rPr>
              <w:t>）</w:t>
            </w:r>
            <w:bookmarkEnd w:id="422"/>
          </w:p>
        </w:tc>
        <w:tc>
          <w:tcPr>
            <w:tcW w:w="595" w:type="dxa"/>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技术</w:t>
            </w:r>
            <w:r>
              <w:rPr>
                <w:rFonts w:hint="eastAsia" w:ascii="仿宋" w:hAnsi="仿宋" w:eastAsia="仿宋" w:cs="仿宋"/>
                <w:color w:val="auto"/>
                <w:sz w:val="21"/>
                <w:szCs w:val="21"/>
                <w:highlight w:val="none"/>
              </w:rPr>
              <w:t>部分</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F2</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sz w:val="21"/>
                <w:szCs w:val="21"/>
                <w:highlight w:val="none"/>
              </w:rPr>
              <w:t>评分标准</w:t>
            </w:r>
          </w:p>
        </w:tc>
        <w:tc>
          <w:tcPr>
            <w:tcW w:w="1563" w:type="dxa"/>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施工工艺</w:t>
            </w:r>
            <w:r>
              <w:rPr>
                <w:rFonts w:hint="eastAsia" w:ascii="仿宋" w:hAnsi="仿宋" w:eastAsia="仿宋" w:cs="仿宋"/>
                <w:color w:val="auto"/>
                <w:sz w:val="21"/>
                <w:szCs w:val="21"/>
                <w:highlight w:val="none"/>
              </w:rPr>
              <w:t>参数指标响应</w:t>
            </w:r>
          </w:p>
          <w:p>
            <w:pPr>
              <w:keepNext w:val="0"/>
              <w:keepLines w:val="0"/>
              <w:pageBreakBefore w:val="0"/>
              <w:widowControl w:val="0"/>
              <w:kinsoku/>
              <w:wordWrap w:val="0"/>
              <w:overflowPunct/>
              <w:topLinePunct w:val="0"/>
              <w:bidi w:val="0"/>
              <w:snapToGrid/>
              <w:spacing w:line="360" w:lineRule="auto"/>
              <w:jc w:val="center"/>
              <w:rPr>
                <w:rFonts w:hint="eastAsia" w:ascii="仿宋" w:hAnsi="仿宋" w:eastAsia="仿宋" w:cs="仿宋"/>
                <w:bCs/>
                <w:color w:val="auto"/>
                <w:kern w:val="2"/>
                <w:sz w:val="21"/>
                <w:szCs w:val="21"/>
                <w:highlight w:val="none"/>
                <w:lang w:val="en-US" w:eastAsia="zh-CN" w:bidi="ar-SA"/>
              </w:rPr>
            </w:pPr>
            <w:r>
              <w:rPr>
                <w:rFonts w:hint="eastAsia" w:ascii="仿宋" w:hAnsi="仿宋" w:eastAsia="仿宋" w:cs="仿宋"/>
                <w:color w:val="auto"/>
                <w:sz w:val="21"/>
                <w:szCs w:val="21"/>
                <w:highlight w:val="none"/>
              </w:rPr>
              <w:t>（满分</w:t>
            </w:r>
            <w:r>
              <w:rPr>
                <w:rFonts w:hint="eastAsia" w:ascii="仿宋" w:hAnsi="仿宋" w:eastAsia="仿宋" w:cs="仿宋"/>
                <w:color w:val="auto"/>
                <w:sz w:val="21"/>
                <w:szCs w:val="21"/>
                <w:highlight w:val="none"/>
                <w:lang w:val="en-US" w:eastAsia="zh-CN"/>
              </w:rPr>
              <w:t>10</w:t>
            </w:r>
            <w:r>
              <w:rPr>
                <w:rFonts w:hint="eastAsia" w:ascii="仿宋" w:hAnsi="仿宋" w:eastAsia="仿宋" w:cs="仿宋"/>
                <w:color w:val="auto"/>
                <w:sz w:val="21"/>
                <w:szCs w:val="21"/>
                <w:highlight w:val="none"/>
              </w:rPr>
              <w:t>分）</w:t>
            </w:r>
          </w:p>
        </w:tc>
        <w:tc>
          <w:tcPr>
            <w:tcW w:w="7012" w:type="dxa"/>
            <w:vAlign w:val="top"/>
          </w:tcPr>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sz w:val="21"/>
                <w:szCs w:val="21"/>
                <w:highlight w:val="none"/>
              </w:rPr>
            </w:pPr>
            <w:r>
              <w:rPr>
                <w:rFonts w:hint="eastAsia" w:ascii="仿宋" w:hAnsi="仿宋" w:eastAsia="仿宋" w:cs="仿宋"/>
                <w:b w:val="0"/>
                <w:bCs w:val="0"/>
                <w:color w:val="auto"/>
                <w:sz w:val="21"/>
                <w:szCs w:val="21"/>
                <w:highlight w:val="none"/>
              </w:rPr>
              <w:t>根据竞</w:t>
            </w:r>
            <w:r>
              <w:rPr>
                <w:rFonts w:hint="eastAsia" w:ascii="仿宋" w:hAnsi="仿宋" w:eastAsia="仿宋" w:cs="仿宋"/>
                <w:b w:val="0"/>
                <w:bCs w:val="0"/>
                <w:color w:val="auto"/>
                <w:sz w:val="21"/>
                <w:szCs w:val="21"/>
                <w:highlight w:val="none"/>
                <w:lang w:eastAsia="zh-CN"/>
              </w:rPr>
              <w:t>比选文件</w:t>
            </w:r>
            <w:r>
              <w:rPr>
                <w:rFonts w:hint="eastAsia" w:ascii="仿宋" w:hAnsi="仿宋" w:eastAsia="仿宋" w:cs="仿宋"/>
                <w:b w:val="0"/>
                <w:bCs w:val="0"/>
                <w:color w:val="auto"/>
                <w:sz w:val="21"/>
                <w:szCs w:val="21"/>
                <w:highlight w:val="none"/>
                <w:lang w:val="en-US" w:eastAsia="zh-CN"/>
              </w:rPr>
              <w:t>项目</w:t>
            </w:r>
            <w:r>
              <w:rPr>
                <w:rFonts w:hint="eastAsia" w:ascii="仿宋" w:hAnsi="仿宋" w:eastAsia="仿宋" w:cs="仿宋"/>
                <w:b w:val="0"/>
                <w:bCs w:val="0"/>
                <w:color w:val="auto"/>
                <w:sz w:val="21"/>
                <w:szCs w:val="21"/>
                <w:highlight w:val="none"/>
              </w:rPr>
              <w:t>需求的响应程度进行评审：</w:t>
            </w:r>
          </w:p>
          <w:p>
            <w:pPr>
              <w:keepNext w:val="0"/>
              <w:keepLines w:val="0"/>
              <w:pageBreakBefore w:val="0"/>
              <w:widowControl w:val="0"/>
              <w:numPr>
                <w:ilvl w:val="0"/>
                <w:numId w:val="0"/>
              </w:numPr>
              <w:kinsoku/>
              <w:overflowPunct/>
              <w:topLinePunct w:val="0"/>
              <w:bidi w:val="0"/>
              <w:snapToGrid/>
              <w:spacing w:line="360" w:lineRule="auto"/>
              <w:ind w:firstLine="210" w:firstLineChars="100"/>
              <w:jc w:val="left"/>
              <w:rPr>
                <w:rFonts w:hint="eastAsia" w:ascii="仿宋" w:hAnsi="仿宋" w:eastAsia="仿宋" w:cs="仿宋"/>
                <w:b w:val="0"/>
                <w:bCs w:val="0"/>
                <w:color w:val="auto"/>
                <w:sz w:val="21"/>
                <w:szCs w:val="21"/>
                <w:highlight w:val="none"/>
              </w:rPr>
            </w:pPr>
            <w:r>
              <w:rPr>
                <w:rFonts w:hint="eastAsia" w:ascii="仿宋" w:hAnsi="仿宋" w:eastAsia="仿宋" w:cs="仿宋"/>
                <w:b w:val="0"/>
                <w:bCs w:val="0"/>
                <w:color w:val="auto"/>
                <w:sz w:val="21"/>
                <w:szCs w:val="21"/>
                <w:highlight w:val="none"/>
              </w:rPr>
              <w:t>产品技术参数（满分</w:t>
            </w:r>
            <w:r>
              <w:rPr>
                <w:rFonts w:hint="eastAsia" w:ascii="仿宋" w:hAnsi="仿宋" w:eastAsia="仿宋" w:cs="仿宋"/>
                <w:b w:val="0"/>
                <w:bCs w:val="0"/>
                <w:color w:val="auto"/>
                <w:sz w:val="21"/>
                <w:szCs w:val="21"/>
                <w:highlight w:val="none"/>
                <w:lang w:val="en-US" w:eastAsia="zh-CN"/>
              </w:rPr>
              <w:t>10</w:t>
            </w:r>
            <w:r>
              <w:rPr>
                <w:rFonts w:hint="eastAsia" w:ascii="仿宋" w:hAnsi="仿宋" w:eastAsia="仿宋" w:cs="仿宋"/>
                <w:b w:val="0"/>
                <w:bCs w:val="0"/>
                <w:color w:val="auto"/>
                <w:sz w:val="21"/>
                <w:szCs w:val="21"/>
                <w:highlight w:val="none"/>
              </w:rPr>
              <w:t>分）：</w:t>
            </w:r>
            <w:r>
              <w:rPr>
                <w:rFonts w:hint="eastAsia" w:ascii="仿宋" w:hAnsi="仿宋" w:eastAsia="仿宋" w:cs="仿宋"/>
                <w:b w:val="0"/>
                <w:bCs w:val="0"/>
                <w:color w:val="auto"/>
                <w:sz w:val="21"/>
                <w:szCs w:val="21"/>
                <w:highlight w:val="none"/>
                <w:lang w:val="en-US" w:eastAsia="zh-CN"/>
              </w:rPr>
              <w:t>施工工艺</w:t>
            </w:r>
            <w:r>
              <w:rPr>
                <w:rFonts w:hint="eastAsia" w:ascii="仿宋" w:hAnsi="仿宋" w:eastAsia="仿宋" w:cs="仿宋"/>
                <w:b w:val="0"/>
                <w:bCs w:val="0"/>
                <w:color w:val="auto"/>
                <w:sz w:val="21"/>
                <w:szCs w:val="21"/>
                <w:highlight w:val="none"/>
              </w:rPr>
              <w:t>参数完全满足竞</w:t>
            </w:r>
            <w:r>
              <w:rPr>
                <w:rFonts w:hint="eastAsia" w:ascii="仿宋" w:hAnsi="仿宋" w:eastAsia="仿宋" w:cs="仿宋"/>
                <w:b w:val="0"/>
                <w:bCs w:val="0"/>
                <w:color w:val="auto"/>
                <w:sz w:val="21"/>
                <w:szCs w:val="21"/>
                <w:highlight w:val="none"/>
                <w:lang w:eastAsia="zh-CN"/>
              </w:rPr>
              <w:t>比选文件</w:t>
            </w:r>
            <w:r>
              <w:rPr>
                <w:rFonts w:hint="eastAsia" w:ascii="仿宋" w:hAnsi="仿宋" w:eastAsia="仿宋" w:cs="仿宋"/>
                <w:b w:val="0"/>
                <w:bCs w:val="0"/>
                <w:color w:val="auto"/>
                <w:sz w:val="21"/>
                <w:szCs w:val="21"/>
                <w:highlight w:val="none"/>
              </w:rPr>
              <w:t>要求的得</w:t>
            </w:r>
            <w:r>
              <w:rPr>
                <w:rFonts w:hint="eastAsia" w:ascii="仿宋" w:hAnsi="仿宋" w:eastAsia="仿宋" w:cs="仿宋"/>
                <w:b w:val="0"/>
                <w:bCs w:val="0"/>
                <w:color w:val="auto"/>
                <w:sz w:val="21"/>
                <w:szCs w:val="21"/>
                <w:highlight w:val="none"/>
                <w:lang w:val="en-US" w:eastAsia="zh-CN"/>
              </w:rPr>
              <w:t>10</w:t>
            </w:r>
            <w:r>
              <w:rPr>
                <w:rFonts w:hint="eastAsia" w:ascii="仿宋" w:hAnsi="仿宋" w:eastAsia="仿宋" w:cs="仿宋"/>
                <w:b w:val="0"/>
                <w:bCs w:val="0"/>
                <w:color w:val="auto"/>
                <w:sz w:val="21"/>
                <w:szCs w:val="21"/>
                <w:highlight w:val="none"/>
              </w:rPr>
              <w:t>分，投标产品每出现一项技术参数不满足</w:t>
            </w:r>
            <w:r>
              <w:rPr>
                <w:rFonts w:hint="eastAsia" w:ascii="仿宋" w:hAnsi="仿宋" w:eastAsia="仿宋" w:cs="仿宋"/>
                <w:b w:val="0"/>
                <w:bCs w:val="0"/>
                <w:color w:val="auto"/>
                <w:sz w:val="21"/>
                <w:szCs w:val="21"/>
                <w:highlight w:val="none"/>
                <w:lang w:eastAsia="zh-CN"/>
              </w:rPr>
              <w:t>比选文件</w:t>
            </w:r>
            <w:r>
              <w:rPr>
                <w:rFonts w:hint="eastAsia" w:ascii="仿宋" w:hAnsi="仿宋" w:eastAsia="仿宋" w:cs="仿宋"/>
                <w:b w:val="0"/>
                <w:bCs w:val="0"/>
                <w:color w:val="auto"/>
                <w:sz w:val="21"/>
                <w:szCs w:val="21"/>
                <w:highlight w:val="none"/>
              </w:rPr>
              <w:t>要求的扣</w:t>
            </w:r>
            <w:r>
              <w:rPr>
                <w:rFonts w:hint="eastAsia" w:ascii="仿宋" w:hAnsi="仿宋" w:eastAsia="仿宋" w:cs="仿宋"/>
                <w:b w:val="0"/>
                <w:bCs w:val="0"/>
                <w:color w:val="auto"/>
                <w:sz w:val="21"/>
                <w:szCs w:val="21"/>
                <w:highlight w:val="none"/>
                <w:lang w:val="en-US" w:eastAsia="zh-CN"/>
              </w:rPr>
              <w:t>2</w:t>
            </w:r>
            <w:r>
              <w:rPr>
                <w:rFonts w:hint="eastAsia" w:ascii="仿宋" w:hAnsi="仿宋" w:eastAsia="仿宋" w:cs="仿宋"/>
                <w:b w:val="0"/>
                <w:bCs w:val="0"/>
                <w:color w:val="auto"/>
                <w:sz w:val="21"/>
                <w:szCs w:val="21"/>
                <w:highlight w:val="none"/>
              </w:rPr>
              <w:t>分，扣完为止。</w:t>
            </w:r>
          </w:p>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86" w:hRule="atLeast"/>
        </w:trPr>
        <w:tc>
          <w:tcPr>
            <w:tcW w:w="750" w:type="dxa"/>
            <w:vMerge w:val="continue"/>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2"/>
                <w:sz w:val="21"/>
                <w:szCs w:val="21"/>
                <w:highlight w:val="none"/>
              </w:rPr>
            </w:pPr>
          </w:p>
        </w:tc>
        <w:tc>
          <w:tcPr>
            <w:tcW w:w="595" w:type="dxa"/>
            <w:vMerge w:val="restart"/>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服务</w:t>
            </w:r>
            <w:r>
              <w:rPr>
                <w:rFonts w:hint="eastAsia" w:ascii="仿宋" w:hAnsi="仿宋" w:eastAsia="仿宋" w:cs="仿宋"/>
                <w:color w:val="auto"/>
                <w:sz w:val="21"/>
                <w:szCs w:val="21"/>
                <w:highlight w:val="none"/>
              </w:rPr>
              <w:t>部分</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sz w:val="21"/>
                <w:szCs w:val="21"/>
                <w:highlight w:val="none"/>
              </w:rPr>
              <w:t>F</w:t>
            </w:r>
            <w:r>
              <w:rPr>
                <w:rFonts w:hint="eastAsia" w:ascii="仿宋" w:hAnsi="仿宋" w:eastAsia="仿宋" w:cs="仿宋"/>
                <w:color w:val="auto"/>
                <w:sz w:val="21"/>
                <w:szCs w:val="21"/>
                <w:highlight w:val="none"/>
                <w:lang w:val="en-US" w:eastAsia="zh-CN"/>
              </w:rPr>
              <w:t>3</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评分标准</w:t>
            </w:r>
          </w:p>
        </w:tc>
        <w:tc>
          <w:tcPr>
            <w:tcW w:w="1563" w:type="dxa"/>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0"/>
                <w:sz w:val="21"/>
                <w:szCs w:val="21"/>
                <w:highlight w:val="none"/>
                <w:lang w:eastAsia="zh-CN"/>
              </w:rPr>
            </w:pPr>
            <w:r>
              <w:rPr>
                <w:rFonts w:hint="eastAsia" w:ascii="仿宋" w:hAnsi="仿宋" w:eastAsia="仿宋" w:cs="仿宋"/>
                <w:color w:val="auto"/>
                <w:kern w:val="0"/>
                <w:sz w:val="21"/>
                <w:szCs w:val="21"/>
                <w:highlight w:val="none"/>
                <w:lang w:val="en-US" w:eastAsia="zh-CN"/>
              </w:rPr>
              <w:t>维修</w:t>
            </w:r>
            <w:r>
              <w:rPr>
                <w:rFonts w:hint="eastAsia" w:ascii="仿宋" w:hAnsi="仿宋" w:eastAsia="仿宋" w:cs="仿宋"/>
                <w:color w:val="auto"/>
                <w:kern w:val="0"/>
                <w:sz w:val="21"/>
                <w:szCs w:val="21"/>
                <w:highlight w:val="none"/>
              </w:rPr>
              <w:t>方案</w:t>
            </w:r>
          </w:p>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0"/>
                <w:sz w:val="21"/>
                <w:szCs w:val="21"/>
                <w:highlight w:val="none"/>
              </w:rPr>
              <w:t>（满分</w:t>
            </w:r>
            <w:r>
              <w:rPr>
                <w:rFonts w:hint="eastAsia" w:ascii="仿宋" w:hAnsi="仿宋" w:eastAsia="仿宋" w:cs="仿宋"/>
                <w:color w:val="auto"/>
                <w:kern w:val="0"/>
                <w:sz w:val="21"/>
                <w:szCs w:val="21"/>
                <w:highlight w:val="none"/>
                <w:lang w:val="en-US" w:eastAsia="zh-CN"/>
              </w:rPr>
              <w:t>20</w:t>
            </w:r>
            <w:r>
              <w:rPr>
                <w:rFonts w:hint="eastAsia" w:ascii="仿宋" w:hAnsi="仿宋" w:eastAsia="仿宋" w:cs="仿宋"/>
                <w:color w:val="auto"/>
                <w:kern w:val="0"/>
                <w:sz w:val="21"/>
                <w:szCs w:val="21"/>
                <w:highlight w:val="none"/>
              </w:rPr>
              <w:t>分）</w:t>
            </w:r>
          </w:p>
        </w:tc>
        <w:tc>
          <w:tcPr>
            <w:tcW w:w="7012" w:type="dxa"/>
            <w:vAlign w:val="center"/>
          </w:tcPr>
          <w:p>
            <w:pPr>
              <w:keepNext w:val="0"/>
              <w:keepLines w:val="0"/>
              <w:pageBreakBefore w:val="0"/>
              <w:widowControl w:val="0"/>
              <w:kinsoku/>
              <w:overflowPunct/>
              <w:topLinePunct w:val="0"/>
              <w:bidi w:val="0"/>
              <w:snapToGrid/>
              <w:spacing w:line="360" w:lineRule="auto"/>
              <w:ind w:left="5" w:hanging="5"/>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lang w:val="en-US" w:eastAsia="zh-CN"/>
              </w:rPr>
              <w:t>1.维修</w:t>
            </w:r>
            <w:r>
              <w:rPr>
                <w:rFonts w:hint="eastAsia" w:ascii="仿宋" w:hAnsi="仿宋" w:eastAsia="仿宋" w:cs="仿宋"/>
                <w:b w:val="0"/>
                <w:bCs w:val="0"/>
                <w:color w:val="auto"/>
                <w:kern w:val="0"/>
                <w:sz w:val="21"/>
                <w:szCs w:val="21"/>
                <w:highlight w:val="none"/>
              </w:rPr>
              <w:t>方案详细，内容全面、具体，针对性强，能够很好的满足项目需求的得</w:t>
            </w:r>
            <w:r>
              <w:rPr>
                <w:rFonts w:hint="eastAsia" w:ascii="仿宋" w:hAnsi="仿宋" w:eastAsia="仿宋" w:cs="仿宋"/>
                <w:b w:val="0"/>
                <w:bCs w:val="0"/>
                <w:color w:val="auto"/>
                <w:kern w:val="0"/>
                <w:sz w:val="21"/>
                <w:szCs w:val="21"/>
                <w:highlight w:val="none"/>
                <w:lang w:val="en-US" w:eastAsia="zh-CN"/>
              </w:rPr>
              <w:t>15-20</w:t>
            </w:r>
            <w:r>
              <w:rPr>
                <w:rFonts w:hint="eastAsia" w:ascii="仿宋" w:hAnsi="仿宋" w:eastAsia="仿宋" w:cs="仿宋"/>
                <w:b w:val="0"/>
                <w:bCs w:val="0"/>
                <w:color w:val="auto"/>
                <w:kern w:val="0"/>
                <w:sz w:val="21"/>
                <w:szCs w:val="21"/>
                <w:highlight w:val="none"/>
              </w:rPr>
              <w:t>分；</w:t>
            </w:r>
          </w:p>
          <w:p>
            <w:pPr>
              <w:keepNext w:val="0"/>
              <w:keepLines w:val="0"/>
              <w:pageBreakBefore w:val="0"/>
              <w:widowControl w:val="0"/>
              <w:kinsoku/>
              <w:overflowPunct/>
              <w:topLinePunct w:val="0"/>
              <w:bidi w:val="0"/>
              <w:snapToGrid/>
              <w:spacing w:line="360" w:lineRule="auto"/>
              <w:ind w:left="5" w:hanging="5"/>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lang w:val="en-US" w:eastAsia="zh-CN"/>
              </w:rPr>
              <w:t>2.维修</w:t>
            </w:r>
            <w:r>
              <w:rPr>
                <w:rFonts w:hint="eastAsia" w:ascii="仿宋" w:hAnsi="仿宋" w:eastAsia="仿宋" w:cs="仿宋"/>
                <w:b w:val="0"/>
                <w:bCs w:val="0"/>
                <w:color w:val="auto"/>
                <w:kern w:val="0"/>
                <w:sz w:val="21"/>
                <w:szCs w:val="21"/>
                <w:highlight w:val="none"/>
              </w:rPr>
              <w:t>方案内容完整，有一定的针对性，基本能满足项目需求的得</w:t>
            </w:r>
            <w:r>
              <w:rPr>
                <w:rFonts w:hint="eastAsia" w:ascii="仿宋" w:hAnsi="仿宋" w:eastAsia="仿宋" w:cs="仿宋"/>
                <w:b w:val="0"/>
                <w:bCs w:val="0"/>
                <w:color w:val="auto"/>
                <w:kern w:val="0"/>
                <w:sz w:val="21"/>
                <w:szCs w:val="21"/>
                <w:highlight w:val="none"/>
                <w:lang w:val="en-US" w:eastAsia="zh-CN"/>
              </w:rPr>
              <w:t>10-14</w:t>
            </w:r>
            <w:r>
              <w:rPr>
                <w:rFonts w:hint="eastAsia" w:ascii="仿宋" w:hAnsi="仿宋" w:eastAsia="仿宋" w:cs="仿宋"/>
                <w:b w:val="0"/>
                <w:bCs w:val="0"/>
                <w:color w:val="auto"/>
                <w:kern w:val="0"/>
                <w:sz w:val="21"/>
                <w:szCs w:val="21"/>
                <w:highlight w:val="none"/>
              </w:rPr>
              <w:t>分；</w:t>
            </w:r>
          </w:p>
          <w:p>
            <w:pPr>
              <w:keepNext w:val="0"/>
              <w:keepLines w:val="0"/>
              <w:pageBreakBefore w:val="0"/>
              <w:widowControl w:val="0"/>
              <w:kinsoku/>
              <w:overflowPunct/>
              <w:topLinePunct w:val="0"/>
              <w:bidi w:val="0"/>
              <w:snapToGrid/>
              <w:spacing w:line="360" w:lineRule="auto"/>
              <w:ind w:left="5" w:hanging="5"/>
              <w:rPr>
                <w:rFonts w:hint="eastAsia" w:ascii="仿宋" w:hAnsi="仿宋" w:eastAsia="仿宋" w:cs="仿宋"/>
                <w:b w:val="0"/>
                <w:bCs w:val="0"/>
                <w:color w:val="auto"/>
                <w:kern w:val="0"/>
                <w:sz w:val="21"/>
                <w:szCs w:val="21"/>
                <w:highlight w:val="none"/>
                <w:lang w:val="en-US" w:eastAsia="zh-CN"/>
              </w:rPr>
            </w:pPr>
            <w:r>
              <w:rPr>
                <w:rFonts w:hint="eastAsia" w:ascii="仿宋" w:hAnsi="仿宋" w:eastAsia="仿宋" w:cs="仿宋"/>
                <w:b w:val="0"/>
                <w:bCs w:val="0"/>
                <w:color w:val="auto"/>
                <w:kern w:val="0"/>
                <w:sz w:val="21"/>
                <w:szCs w:val="21"/>
                <w:highlight w:val="none"/>
                <w:lang w:val="en-US" w:eastAsia="zh-CN"/>
              </w:rPr>
              <w:t>3.维修</w:t>
            </w:r>
            <w:r>
              <w:rPr>
                <w:rFonts w:hint="eastAsia" w:ascii="仿宋" w:hAnsi="仿宋" w:eastAsia="仿宋" w:cs="仿宋"/>
                <w:b w:val="0"/>
                <w:bCs w:val="0"/>
                <w:color w:val="auto"/>
                <w:kern w:val="0"/>
                <w:sz w:val="21"/>
                <w:szCs w:val="21"/>
                <w:highlight w:val="none"/>
              </w:rPr>
              <w:t>方案内容缺漏或针对性</w:t>
            </w:r>
            <w:r>
              <w:rPr>
                <w:rFonts w:hint="eastAsia" w:ascii="仿宋" w:hAnsi="仿宋" w:eastAsia="仿宋" w:cs="仿宋"/>
                <w:b w:val="0"/>
                <w:bCs w:val="0"/>
                <w:color w:val="auto"/>
                <w:kern w:val="0"/>
                <w:sz w:val="21"/>
                <w:szCs w:val="21"/>
                <w:highlight w:val="none"/>
                <w:lang w:val="en-US" w:eastAsia="zh-CN"/>
              </w:rPr>
              <w:t>不足</w:t>
            </w:r>
            <w:r>
              <w:rPr>
                <w:rFonts w:hint="eastAsia" w:ascii="仿宋" w:hAnsi="仿宋" w:eastAsia="仿宋" w:cs="仿宋"/>
                <w:b w:val="0"/>
                <w:bCs w:val="0"/>
                <w:color w:val="auto"/>
                <w:kern w:val="0"/>
                <w:sz w:val="21"/>
                <w:szCs w:val="21"/>
                <w:highlight w:val="none"/>
              </w:rPr>
              <w:t>或不能满足项目需求</w:t>
            </w:r>
            <w:r>
              <w:rPr>
                <w:rFonts w:hint="eastAsia" w:ascii="仿宋" w:hAnsi="仿宋" w:eastAsia="仿宋" w:cs="仿宋"/>
                <w:b w:val="0"/>
                <w:bCs w:val="0"/>
                <w:color w:val="auto"/>
                <w:kern w:val="0"/>
                <w:sz w:val="21"/>
                <w:szCs w:val="21"/>
                <w:highlight w:val="none"/>
                <w:lang w:val="en-US" w:eastAsia="zh-CN"/>
              </w:rPr>
              <w:t>的得1-10分；</w:t>
            </w:r>
          </w:p>
          <w:p>
            <w:pPr>
              <w:keepNext w:val="0"/>
              <w:keepLines w:val="0"/>
              <w:pageBreakBefore w:val="0"/>
              <w:widowControl w:val="0"/>
              <w:numPr>
                <w:ilvl w:val="0"/>
                <w:numId w:val="0"/>
              </w:numPr>
              <w:kinsoku/>
              <w:overflowPunct/>
              <w:topLinePunct w:val="0"/>
              <w:bidi w:val="0"/>
              <w:snapToGrid/>
              <w:spacing w:line="360" w:lineRule="auto"/>
              <w:ind w:leftChars="0"/>
              <w:rPr>
                <w:rFonts w:hint="eastAsia" w:ascii="仿宋" w:hAnsi="仿宋" w:eastAsia="仿宋" w:cs="仿宋"/>
                <w:b w:val="0"/>
                <w:bCs w:val="0"/>
                <w:color w:val="auto"/>
                <w:kern w:val="0"/>
                <w:sz w:val="21"/>
                <w:szCs w:val="21"/>
                <w:highlight w:val="none"/>
                <w:lang w:val="en-US" w:eastAsia="zh-CN"/>
              </w:rPr>
            </w:pPr>
            <w:r>
              <w:rPr>
                <w:rFonts w:hint="eastAsia" w:ascii="仿宋" w:hAnsi="仿宋" w:eastAsia="仿宋" w:cs="仿宋"/>
                <w:b w:val="0"/>
                <w:bCs w:val="0"/>
                <w:color w:val="auto"/>
                <w:kern w:val="0"/>
                <w:sz w:val="21"/>
                <w:szCs w:val="21"/>
                <w:highlight w:val="none"/>
              </w:rPr>
              <w:t>无</w:t>
            </w:r>
            <w:r>
              <w:rPr>
                <w:rFonts w:hint="eastAsia" w:ascii="仿宋" w:hAnsi="仿宋" w:eastAsia="仿宋" w:cs="仿宋"/>
                <w:b w:val="0"/>
                <w:bCs w:val="0"/>
                <w:color w:val="auto"/>
                <w:kern w:val="0"/>
                <w:sz w:val="21"/>
                <w:szCs w:val="21"/>
                <w:highlight w:val="none"/>
                <w:lang w:val="en-US" w:eastAsia="zh-CN"/>
              </w:rPr>
              <w:t>维修</w:t>
            </w:r>
            <w:r>
              <w:rPr>
                <w:rFonts w:hint="eastAsia" w:ascii="仿宋" w:hAnsi="仿宋" w:eastAsia="仿宋" w:cs="仿宋"/>
                <w:b w:val="0"/>
                <w:bCs w:val="0"/>
                <w:color w:val="auto"/>
                <w:kern w:val="0"/>
                <w:sz w:val="21"/>
                <w:szCs w:val="21"/>
                <w:highlight w:val="none"/>
              </w:rPr>
              <w:t>方案的得0分。</w:t>
            </w:r>
          </w:p>
          <w:p>
            <w:pPr>
              <w:keepNext w:val="0"/>
              <w:keepLines w:val="0"/>
              <w:pageBreakBefore w:val="0"/>
              <w:widowControl w:val="0"/>
              <w:kinsoku/>
              <w:overflowPunct/>
              <w:topLinePunct w:val="0"/>
              <w:bidi w:val="0"/>
              <w:snapToGrid/>
              <w:spacing w:line="360" w:lineRule="auto"/>
              <w:rPr>
                <w:rFonts w:hint="eastAsia" w:ascii="仿宋" w:hAnsi="仿宋" w:eastAsia="仿宋" w:cs="仿宋"/>
                <w:b w:val="0"/>
                <w:bCs w:val="0"/>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trPr>
        <w:tc>
          <w:tcPr>
            <w:tcW w:w="750" w:type="dxa"/>
            <w:vMerge w:val="continue"/>
            <w:vAlign w:val="center"/>
          </w:tcPr>
          <w:p>
            <w:pPr>
              <w:pStyle w:val="45"/>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kern w:val="2"/>
                <w:sz w:val="21"/>
                <w:szCs w:val="21"/>
                <w:highlight w:val="none"/>
              </w:rPr>
            </w:pPr>
          </w:p>
        </w:tc>
        <w:tc>
          <w:tcPr>
            <w:tcW w:w="595" w:type="dxa"/>
            <w:vMerge w:val="continue"/>
            <w:vAlign w:val="center"/>
          </w:tcPr>
          <w:p>
            <w:pPr>
              <w:keepNext w:val="0"/>
              <w:keepLines w:val="0"/>
              <w:pageBreakBefore w:val="0"/>
              <w:widowControl w:val="0"/>
              <w:kinsoku/>
              <w:overflowPunct/>
              <w:topLinePunct w:val="0"/>
              <w:bidi w:val="0"/>
              <w:snapToGrid/>
              <w:spacing w:line="360" w:lineRule="auto"/>
              <w:jc w:val="center"/>
              <w:rPr>
                <w:rFonts w:hint="eastAsia" w:ascii="仿宋" w:hAnsi="仿宋" w:eastAsia="仿宋" w:cs="仿宋"/>
                <w:color w:val="auto"/>
                <w:sz w:val="21"/>
                <w:szCs w:val="21"/>
                <w:highlight w:val="none"/>
              </w:rPr>
            </w:pPr>
          </w:p>
        </w:tc>
        <w:tc>
          <w:tcPr>
            <w:tcW w:w="1563" w:type="dxa"/>
            <w:vAlign w:val="center"/>
          </w:tcPr>
          <w:p>
            <w:pPr>
              <w:pStyle w:val="45"/>
              <w:keepNext w:val="0"/>
              <w:keepLines w:val="0"/>
              <w:pageBreakBefore w:val="0"/>
              <w:widowControl w:val="0"/>
              <w:kinsoku/>
              <w:overflowPunct/>
              <w:topLinePunct w:val="0"/>
              <w:bidi w:val="0"/>
              <w:snapToGrid/>
              <w:spacing w:before="0" w:after="0" w:line="360" w:lineRule="auto"/>
              <w:rPr>
                <w:rFonts w:hint="eastAsia" w:ascii="仿宋" w:hAnsi="仿宋" w:eastAsia="仿宋" w:cs="仿宋"/>
                <w:b w:val="0"/>
                <w:bCs w:val="0"/>
                <w:color w:val="auto"/>
                <w:kern w:val="0"/>
                <w:sz w:val="21"/>
                <w:szCs w:val="21"/>
                <w:highlight w:val="none"/>
                <w:lang w:val="en-US" w:eastAsia="zh-CN" w:bidi="ar-SA"/>
              </w:rPr>
            </w:pPr>
            <w:bookmarkStart w:id="423" w:name="_Toc4274"/>
            <w:r>
              <w:rPr>
                <w:rFonts w:hint="eastAsia" w:ascii="仿宋" w:hAnsi="仿宋" w:eastAsia="仿宋" w:cs="仿宋"/>
                <w:b w:val="0"/>
                <w:bCs w:val="0"/>
                <w:color w:val="auto"/>
                <w:kern w:val="0"/>
                <w:sz w:val="21"/>
                <w:szCs w:val="21"/>
                <w:highlight w:val="none"/>
                <w:lang w:val="en-US" w:eastAsia="zh-CN" w:bidi="ar-SA"/>
              </w:rPr>
              <w:t>质保及服务承诺</w:t>
            </w:r>
            <w:r>
              <w:rPr>
                <w:rFonts w:hint="eastAsia" w:ascii="仿宋" w:hAnsi="仿宋" w:eastAsia="仿宋" w:cs="仿宋"/>
                <w:b w:val="0"/>
                <w:bCs w:val="0"/>
                <w:color w:val="auto"/>
                <w:sz w:val="21"/>
                <w:szCs w:val="21"/>
                <w:highlight w:val="none"/>
              </w:rPr>
              <w:t>（满分</w:t>
            </w:r>
            <w:r>
              <w:rPr>
                <w:rFonts w:hint="eastAsia" w:ascii="仿宋" w:hAnsi="仿宋" w:eastAsia="仿宋" w:cs="仿宋"/>
                <w:b w:val="0"/>
                <w:bCs w:val="0"/>
                <w:color w:val="auto"/>
                <w:sz w:val="21"/>
                <w:szCs w:val="21"/>
                <w:highlight w:val="none"/>
                <w:lang w:val="en-US" w:eastAsia="zh-CN"/>
              </w:rPr>
              <w:t>20</w:t>
            </w:r>
            <w:r>
              <w:rPr>
                <w:rFonts w:hint="eastAsia" w:ascii="仿宋" w:hAnsi="仿宋" w:eastAsia="仿宋" w:cs="仿宋"/>
                <w:b w:val="0"/>
                <w:bCs w:val="0"/>
                <w:color w:val="auto"/>
                <w:sz w:val="21"/>
                <w:szCs w:val="21"/>
                <w:highlight w:val="none"/>
              </w:rPr>
              <w:t>分）</w:t>
            </w:r>
            <w:bookmarkEnd w:id="423"/>
          </w:p>
        </w:tc>
        <w:tc>
          <w:tcPr>
            <w:tcW w:w="7012" w:type="dxa"/>
            <w:vAlign w:val="center"/>
          </w:tcPr>
          <w:p>
            <w:pPr>
              <w:pStyle w:val="45"/>
              <w:keepNext w:val="0"/>
              <w:keepLines w:val="0"/>
              <w:pageBreakBefore w:val="0"/>
              <w:widowControl w:val="0"/>
              <w:kinsoku/>
              <w:overflowPunct/>
              <w:topLinePunct w:val="0"/>
              <w:bidi w:val="0"/>
              <w:snapToGrid/>
              <w:spacing w:before="0" w:after="0" w:line="360" w:lineRule="auto"/>
              <w:jc w:val="left"/>
              <w:rPr>
                <w:rFonts w:hint="eastAsia" w:ascii="仿宋" w:hAnsi="仿宋" w:eastAsia="仿宋" w:cs="仿宋"/>
                <w:b w:val="0"/>
                <w:bCs w:val="0"/>
                <w:color w:val="auto"/>
                <w:sz w:val="21"/>
                <w:szCs w:val="21"/>
                <w:highlight w:val="none"/>
              </w:rPr>
            </w:pPr>
            <w:bookmarkStart w:id="424" w:name="_Toc12959"/>
            <w:r>
              <w:rPr>
                <w:rFonts w:hint="eastAsia" w:ascii="仿宋" w:hAnsi="仿宋" w:eastAsia="仿宋" w:cs="仿宋"/>
                <w:b w:val="0"/>
                <w:bCs w:val="0"/>
                <w:color w:val="auto"/>
                <w:sz w:val="21"/>
                <w:szCs w:val="21"/>
                <w:highlight w:val="none"/>
                <w:lang w:eastAsia="zh-CN"/>
              </w:rPr>
              <w:t>投标人</w:t>
            </w:r>
            <w:r>
              <w:rPr>
                <w:rFonts w:hint="eastAsia" w:ascii="仿宋" w:hAnsi="仿宋" w:eastAsia="仿宋" w:cs="仿宋"/>
                <w:b w:val="0"/>
                <w:bCs w:val="0"/>
                <w:color w:val="auto"/>
                <w:sz w:val="21"/>
                <w:szCs w:val="21"/>
                <w:highlight w:val="none"/>
              </w:rPr>
              <w:t>针对本项目提供详细的服务方案，方案包括</w:t>
            </w:r>
            <w:r>
              <w:rPr>
                <w:rFonts w:hint="eastAsia" w:ascii="仿宋" w:hAnsi="仿宋" w:eastAsia="仿宋" w:cs="仿宋"/>
                <w:b w:val="0"/>
                <w:bCs w:val="0"/>
                <w:color w:val="auto"/>
                <w:sz w:val="21"/>
                <w:szCs w:val="21"/>
                <w:highlight w:val="none"/>
                <w:lang w:val="en-US" w:eastAsia="zh-CN"/>
              </w:rPr>
              <w:t>但不限于维修负责人</w:t>
            </w:r>
            <w:r>
              <w:rPr>
                <w:rFonts w:hint="eastAsia" w:ascii="仿宋" w:hAnsi="仿宋" w:eastAsia="仿宋" w:cs="仿宋"/>
                <w:b w:val="0"/>
                <w:bCs w:val="0"/>
                <w:color w:val="auto"/>
                <w:sz w:val="21"/>
                <w:szCs w:val="21"/>
                <w:highlight w:val="none"/>
                <w:u w:val="single"/>
              </w:rPr>
              <w:t>（人员有具体信息、联系方式）</w:t>
            </w:r>
            <w:r>
              <w:rPr>
                <w:rFonts w:hint="eastAsia" w:ascii="仿宋" w:hAnsi="仿宋" w:eastAsia="仿宋" w:cs="仿宋"/>
                <w:b w:val="0"/>
                <w:bCs w:val="0"/>
                <w:color w:val="auto"/>
                <w:sz w:val="21"/>
                <w:szCs w:val="21"/>
                <w:highlight w:val="none"/>
              </w:rPr>
              <w:t>、</w:t>
            </w:r>
            <w:r>
              <w:rPr>
                <w:rFonts w:hint="eastAsia" w:ascii="仿宋" w:hAnsi="仿宋" w:eastAsia="仿宋" w:cs="仿宋"/>
                <w:b w:val="0"/>
                <w:bCs w:val="0"/>
                <w:color w:val="auto"/>
                <w:sz w:val="21"/>
                <w:szCs w:val="21"/>
                <w:highlight w:val="none"/>
                <w:u w:val="single"/>
                <w:lang w:val="en-US" w:eastAsia="zh-CN"/>
              </w:rPr>
              <w:t>质保期间服务承诺</w:t>
            </w:r>
            <w:r>
              <w:rPr>
                <w:rFonts w:hint="eastAsia" w:ascii="仿宋" w:hAnsi="仿宋" w:eastAsia="仿宋" w:cs="仿宋"/>
                <w:b w:val="0"/>
                <w:bCs w:val="0"/>
                <w:color w:val="auto"/>
                <w:sz w:val="21"/>
                <w:szCs w:val="21"/>
                <w:highlight w:val="none"/>
                <w:u w:val="none"/>
                <w:lang w:eastAsia="zh-CN"/>
              </w:rPr>
              <w:t>、</w:t>
            </w:r>
            <w:r>
              <w:rPr>
                <w:rFonts w:hint="eastAsia" w:ascii="仿宋" w:hAnsi="仿宋" w:eastAsia="仿宋" w:cs="仿宋"/>
                <w:b w:val="0"/>
                <w:bCs w:val="0"/>
                <w:color w:val="auto"/>
                <w:sz w:val="21"/>
                <w:szCs w:val="21"/>
                <w:highlight w:val="none"/>
                <w:u w:val="single"/>
                <w:lang w:val="en-US" w:eastAsia="zh-CN"/>
              </w:rPr>
              <w:t>服务态度</w:t>
            </w:r>
            <w:r>
              <w:rPr>
                <w:rFonts w:hint="eastAsia" w:ascii="仿宋" w:hAnsi="仿宋" w:eastAsia="仿宋" w:cs="仿宋"/>
                <w:b w:val="0"/>
                <w:bCs w:val="0"/>
                <w:color w:val="auto"/>
                <w:sz w:val="21"/>
                <w:szCs w:val="21"/>
                <w:highlight w:val="none"/>
              </w:rPr>
              <w:t>、</w:t>
            </w:r>
            <w:r>
              <w:rPr>
                <w:rFonts w:hint="eastAsia" w:ascii="仿宋" w:hAnsi="仿宋" w:eastAsia="仿宋" w:cs="仿宋"/>
                <w:b w:val="0"/>
                <w:bCs w:val="0"/>
                <w:color w:val="auto"/>
                <w:sz w:val="21"/>
                <w:szCs w:val="21"/>
                <w:highlight w:val="none"/>
                <w:u w:val="single"/>
                <w:lang w:eastAsia="zh-CN"/>
              </w:rPr>
              <w:t>出现质量问题时的解决方案</w:t>
            </w:r>
            <w:r>
              <w:rPr>
                <w:rFonts w:hint="eastAsia" w:ascii="仿宋" w:hAnsi="仿宋" w:eastAsia="仿宋" w:cs="仿宋"/>
                <w:b w:val="0"/>
                <w:bCs w:val="0"/>
                <w:color w:val="auto"/>
                <w:sz w:val="21"/>
                <w:szCs w:val="21"/>
                <w:highlight w:val="none"/>
              </w:rPr>
              <w:t>；</w:t>
            </w:r>
            <w:bookmarkEnd w:id="424"/>
          </w:p>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rPr>
              <w:t>上述</w:t>
            </w:r>
            <w:r>
              <w:rPr>
                <w:rFonts w:hint="eastAsia" w:ascii="仿宋" w:hAnsi="仿宋" w:eastAsia="仿宋" w:cs="仿宋"/>
                <w:b w:val="0"/>
                <w:bCs w:val="0"/>
                <w:color w:val="auto"/>
                <w:kern w:val="0"/>
                <w:sz w:val="21"/>
                <w:szCs w:val="21"/>
                <w:highlight w:val="none"/>
                <w:lang w:val="en-US" w:eastAsia="zh-CN"/>
              </w:rPr>
              <w:t>4</w:t>
            </w:r>
            <w:r>
              <w:rPr>
                <w:rFonts w:hint="eastAsia" w:ascii="仿宋" w:hAnsi="仿宋" w:eastAsia="仿宋" w:cs="仿宋"/>
                <w:b w:val="0"/>
                <w:bCs w:val="0"/>
                <w:color w:val="auto"/>
                <w:kern w:val="0"/>
                <w:sz w:val="21"/>
                <w:szCs w:val="21"/>
                <w:highlight w:val="none"/>
              </w:rPr>
              <w:t>项内容，每项满分</w:t>
            </w:r>
            <w:r>
              <w:rPr>
                <w:rFonts w:hint="eastAsia" w:ascii="仿宋" w:hAnsi="仿宋" w:eastAsia="仿宋" w:cs="仿宋"/>
                <w:b w:val="0"/>
                <w:bCs w:val="0"/>
                <w:color w:val="auto"/>
                <w:kern w:val="0"/>
                <w:sz w:val="21"/>
                <w:szCs w:val="21"/>
                <w:highlight w:val="none"/>
                <w:lang w:val="en-US" w:eastAsia="zh-CN"/>
              </w:rPr>
              <w:t>5</w:t>
            </w:r>
            <w:r>
              <w:rPr>
                <w:rFonts w:hint="eastAsia" w:ascii="仿宋" w:hAnsi="仿宋" w:eastAsia="仿宋" w:cs="仿宋"/>
                <w:b w:val="0"/>
                <w:bCs w:val="0"/>
                <w:color w:val="auto"/>
                <w:kern w:val="0"/>
                <w:sz w:val="21"/>
                <w:szCs w:val="21"/>
                <w:highlight w:val="none"/>
              </w:rPr>
              <w:t>分，总分</w:t>
            </w:r>
            <w:r>
              <w:rPr>
                <w:rFonts w:hint="eastAsia" w:ascii="仿宋" w:hAnsi="仿宋" w:eastAsia="仿宋" w:cs="仿宋"/>
                <w:b w:val="0"/>
                <w:bCs w:val="0"/>
                <w:color w:val="auto"/>
                <w:kern w:val="0"/>
                <w:sz w:val="21"/>
                <w:szCs w:val="21"/>
                <w:highlight w:val="none"/>
                <w:lang w:val="en-US" w:eastAsia="zh-CN"/>
              </w:rPr>
              <w:t>20</w:t>
            </w:r>
            <w:r>
              <w:rPr>
                <w:rFonts w:hint="eastAsia" w:ascii="仿宋" w:hAnsi="仿宋" w:eastAsia="仿宋" w:cs="仿宋"/>
                <w:b w:val="0"/>
                <w:bCs w:val="0"/>
                <w:color w:val="auto"/>
                <w:kern w:val="0"/>
                <w:sz w:val="21"/>
                <w:szCs w:val="21"/>
                <w:highlight w:val="none"/>
              </w:rPr>
              <w:t>分；</w:t>
            </w:r>
          </w:p>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rPr>
              <w:t>每有一项内容存在提升空间或表述不清楚的扣</w:t>
            </w:r>
            <w:r>
              <w:rPr>
                <w:rFonts w:hint="eastAsia" w:ascii="仿宋" w:hAnsi="仿宋" w:eastAsia="仿宋" w:cs="仿宋"/>
                <w:b w:val="0"/>
                <w:bCs w:val="0"/>
                <w:color w:val="auto"/>
                <w:kern w:val="0"/>
                <w:sz w:val="21"/>
                <w:szCs w:val="21"/>
                <w:highlight w:val="none"/>
                <w:lang w:val="en-US" w:eastAsia="zh-CN"/>
              </w:rPr>
              <w:t>2</w:t>
            </w:r>
            <w:r>
              <w:rPr>
                <w:rFonts w:hint="eastAsia" w:ascii="仿宋" w:hAnsi="仿宋" w:eastAsia="仿宋" w:cs="仿宋"/>
                <w:b w:val="0"/>
                <w:bCs w:val="0"/>
                <w:color w:val="auto"/>
                <w:kern w:val="0"/>
                <w:sz w:val="21"/>
                <w:szCs w:val="21"/>
                <w:highlight w:val="none"/>
              </w:rPr>
              <w:t>分；</w:t>
            </w:r>
          </w:p>
          <w:p>
            <w:pPr>
              <w:keepNext w:val="0"/>
              <w:keepLines w:val="0"/>
              <w:pageBreakBefore w:val="0"/>
              <w:widowControl w:val="0"/>
              <w:kinsoku/>
              <w:overflowPunct/>
              <w:topLinePunct w:val="0"/>
              <w:bidi w:val="0"/>
              <w:snapToGrid/>
              <w:spacing w:line="360" w:lineRule="auto"/>
              <w:jc w:val="left"/>
              <w:rPr>
                <w:rFonts w:hint="eastAsia" w:ascii="仿宋" w:hAnsi="仿宋" w:eastAsia="仿宋" w:cs="仿宋"/>
                <w:b w:val="0"/>
                <w:bCs w:val="0"/>
                <w:color w:val="auto"/>
                <w:kern w:val="0"/>
                <w:sz w:val="21"/>
                <w:szCs w:val="21"/>
                <w:highlight w:val="none"/>
              </w:rPr>
            </w:pPr>
            <w:r>
              <w:rPr>
                <w:rFonts w:hint="eastAsia" w:ascii="仿宋" w:hAnsi="仿宋" w:eastAsia="仿宋" w:cs="仿宋"/>
                <w:b w:val="0"/>
                <w:bCs w:val="0"/>
                <w:color w:val="auto"/>
                <w:kern w:val="0"/>
                <w:sz w:val="21"/>
                <w:szCs w:val="21"/>
                <w:highlight w:val="none"/>
              </w:rPr>
              <w:t>每有一项内容存在缺陷的扣</w:t>
            </w:r>
            <w:r>
              <w:rPr>
                <w:rFonts w:hint="eastAsia" w:ascii="仿宋" w:hAnsi="仿宋" w:eastAsia="仿宋" w:cs="仿宋"/>
                <w:b w:val="0"/>
                <w:bCs w:val="0"/>
                <w:color w:val="auto"/>
                <w:kern w:val="0"/>
                <w:sz w:val="21"/>
                <w:szCs w:val="21"/>
                <w:highlight w:val="none"/>
                <w:lang w:val="en-US" w:eastAsia="zh-CN"/>
              </w:rPr>
              <w:t>2</w:t>
            </w:r>
            <w:r>
              <w:rPr>
                <w:rFonts w:hint="eastAsia" w:ascii="仿宋" w:hAnsi="仿宋" w:eastAsia="仿宋" w:cs="仿宋"/>
                <w:b w:val="0"/>
                <w:bCs w:val="0"/>
                <w:color w:val="auto"/>
                <w:kern w:val="0"/>
                <w:sz w:val="21"/>
                <w:szCs w:val="21"/>
                <w:highlight w:val="none"/>
              </w:rPr>
              <w:t>分；</w:t>
            </w:r>
          </w:p>
          <w:p>
            <w:pPr>
              <w:pStyle w:val="45"/>
              <w:keepNext w:val="0"/>
              <w:keepLines w:val="0"/>
              <w:pageBreakBefore w:val="0"/>
              <w:widowControl w:val="0"/>
              <w:kinsoku/>
              <w:overflowPunct/>
              <w:topLinePunct w:val="0"/>
              <w:bidi w:val="0"/>
              <w:snapToGrid/>
              <w:spacing w:before="0" w:after="0" w:line="360" w:lineRule="auto"/>
              <w:jc w:val="left"/>
              <w:rPr>
                <w:rFonts w:hint="eastAsia" w:ascii="仿宋" w:hAnsi="仿宋" w:eastAsia="仿宋" w:cs="仿宋"/>
                <w:b w:val="0"/>
                <w:bCs w:val="0"/>
                <w:color w:val="auto"/>
                <w:kern w:val="0"/>
                <w:sz w:val="21"/>
                <w:szCs w:val="21"/>
                <w:highlight w:val="none"/>
                <w:lang w:val="en-US" w:eastAsia="zh-CN" w:bidi="ar-SA"/>
              </w:rPr>
            </w:pPr>
            <w:bookmarkStart w:id="425" w:name="_Toc23144"/>
            <w:r>
              <w:rPr>
                <w:rFonts w:hint="eastAsia" w:ascii="仿宋" w:hAnsi="仿宋" w:eastAsia="仿宋" w:cs="仿宋"/>
                <w:b w:val="0"/>
                <w:bCs w:val="0"/>
                <w:color w:val="auto"/>
                <w:sz w:val="21"/>
                <w:szCs w:val="21"/>
                <w:highlight w:val="none"/>
              </w:rPr>
              <w:t>每有一项内容未提供或提供的内容存在较大缺陷的扣</w:t>
            </w:r>
            <w:r>
              <w:rPr>
                <w:rFonts w:hint="eastAsia" w:ascii="仿宋" w:hAnsi="仿宋" w:eastAsia="仿宋" w:cs="仿宋"/>
                <w:b w:val="0"/>
                <w:bCs w:val="0"/>
                <w:color w:val="auto"/>
                <w:sz w:val="21"/>
                <w:szCs w:val="21"/>
                <w:highlight w:val="none"/>
                <w:lang w:val="en-US" w:eastAsia="zh-CN"/>
              </w:rPr>
              <w:t>4</w:t>
            </w:r>
            <w:r>
              <w:rPr>
                <w:rFonts w:hint="eastAsia" w:ascii="仿宋" w:hAnsi="仿宋" w:eastAsia="仿宋" w:cs="仿宋"/>
                <w:b w:val="0"/>
                <w:bCs w:val="0"/>
                <w:color w:val="auto"/>
                <w:sz w:val="21"/>
                <w:szCs w:val="21"/>
                <w:highlight w:val="none"/>
              </w:rPr>
              <w:t>分，扣完为止。</w:t>
            </w:r>
            <w:bookmarkEnd w:id="425"/>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trPr>
        <w:tc>
          <w:tcPr>
            <w:tcW w:w="750" w:type="dxa"/>
            <w:vMerge w:val="continue"/>
            <w:vAlign w:val="center"/>
          </w:tcPr>
          <w:p>
            <w:pPr>
              <w:pStyle w:val="45"/>
              <w:keepNext w:val="0"/>
              <w:keepLines w:val="0"/>
              <w:pageBreakBefore w:val="0"/>
              <w:widowControl w:val="0"/>
              <w:kinsoku/>
              <w:overflowPunct/>
              <w:topLinePunct w:val="0"/>
              <w:bidi w:val="0"/>
              <w:snapToGrid/>
              <w:spacing w:line="360" w:lineRule="auto"/>
              <w:rPr>
                <w:rFonts w:hint="eastAsia" w:ascii="仿宋" w:hAnsi="仿宋" w:eastAsia="仿宋" w:cs="仿宋"/>
                <w:color w:val="auto"/>
                <w:sz w:val="21"/>
                <w:szCs w:val="21"/>
                <w:highlight w:val="none"/>
              </w:rPr>
            </w:pPr>
          </w:p>
        </w:tc>
        <w:tc>
          <w:tcPr>
            <w:tcW w:w="595" w:type="dxa"/>
            <w:vMerge w:val="continue"/>
            <w:vAlign w:val="center"/>
          </w:tcPr>
          <w:p>
            <w:pPr>
              <w:pStyle w:val="45"/>
              <w:keepNext w:val="0"/>
              <w:keepLines w:val="0"/>
              <w:pageBreakBefore w:val="0"/>
              <w:widowControl w:val="0"/>
              <w:kinsoku/>
              <w:overflowPunct/>
              <w:topLinePunct w:val="0"/>
              <w:bidi w:val="0"/>
              <w:snapToGrid/>
              <w:spacing w:line="360" w:lineRule="auto"/>
              <w:rPr>
                <w:rFonts w:hint="eastAsia" w:ascii="仿宋" w:hAnsi="仿宋" w:eastAsia="仿宋" w:cs="仿宋"/>
                <w:color w:val="auto"/>
                <w:sz w:val="21"/>
                <w:szCs w:val="21"/>
                <w:highlight w:val="none"/>
              </w:rPr>
            </w:pPr>
          </w:p>
        </w:tc>
        <w:tc>
          <w:tcPr>
            <w:tcW w:w="1563" w:type="dxa"/>
            <w:vAlign w:val="center"/>
          </w:tcPr>
          <w:p>
            <w:pPr>
              <w:pStyle w:val="45"/>
              <w:keepNext w:val="0"/>
              <w:keepLines w:val="0"/>
              <w:pageBreakBefore w:val="0"/>
              <w:widowControl w:val="0"/>
              <w:kinsoku/>
              <w:wordWrap w:val="0"/>
              <w:overflowPunct/>
              <w:topLinePunct w:val="0"/>
              <w:bidi w:val="0"/>
              <w:snapToGrid/>
              <w:spacing w:line="360" w:lineRule="auto"/>
              <w:rPr>
                <w:rFonts w:hint="eastAsia" w:ascii="仿宋" w:hAnsi="仿宋" w:eastAsia="仿宋" w:cs="仿宋"/>
                <w:b w:val="0"/>
                <w:bCs w:val="0"/>
                <w:color w:val="auto"/>
                <w:kern w:val="0"/>
                <w:sz w:val="21"/>
                <w:szCs w:val="21"/>
                <w:highlight w:val="none"/>
                <w:lang w:val="en-US" w:eastAsia="zh-CN" w:bidi="ar-SA"/>
              </w:rPr>
            </w:pPr>
            <w:bookmarkStart w:id="426" w:name="_Toc28431"/>
            <w:r>
              <w:rPr>
                <w:rFonts w:hint="eastAsia" w:ascii="仿宋" w:hAnsi="仿宋" w:eastAsia="仿宋" w:cs="仿宋"/>
                <w:b w:val="0"/>
                <w:bCs w:val="0"/>
                <w:color w:val="auto"/>
                <w:sz w:val="21"/>
                <w:szCs w:val="21"/>
                <w:highlight w:val="none"/>
                <w:lang w:val="en-US" w:eastAsia="zh-CN"/>
              </w:rPr>
              <w:t>施工工期承诺</w:t>
            </w:r>
            <w:r>
              <w:rPr>
                <w:rFonts w:hint="eastAsia" w:ascii="仿宋" w:hAnsi="仿宋" w:eastAsia="仿宋" w:cs="仿宋"/>
                <w:b w:val="0"/>
                <w:bCs w:val="0"/>
                <w:color w:val="auto"/>
                <w:sz w:val="21"/>
                <w:szCs w:val="21"/>
                <w:highlight w:val="none"/>
              </w:rPr>
              <w:t>（满分</w:t>
            </w:r>
            <w:r>
              <w:rPr>
                <w:rFonts w:hint="eastAsia" w:ascii="仿宋" w:hAnsi="仿宋" w:eastAsia="仿宋" w:cs="仿宋"/>
                <w:b w:val="0"/>
                <w:bCs w:val="0"/>
                <w:color w:val="auto"/>
                <w:sz w:val="21"/>
                <w:szCs w:val="21"/>
                <w:highlight w:val="none"/>
                <w:lang w:val="en-US" w:eastAsia="zh-CN"/>
              </w:rPr>
              <w:t>20</w:t>
            </w:r>
            <w:r>
              <w:rPr>
                <w:rFonts w:hint="eastAsia" w:ascii="仿宋" w:hAnsi="仿宋" w:eastAsia="仿宋" w:cs="仿宋"/>
                <w:b w:val="0"/>
                <w:bCs w:val="0"/>
                <w:color w:val="auto"/>
                <w:sz w:val="21"/>
                <w:szCs w:val="21"/>
                <w:highlight w:val="none"/>
              </w:rPr>
              <w:t>分）</w:t>
            </w:r>
            <w:bookmarkEnd w:id="426"/>
          </w:p>
        </w:tc>
        <w:tc>
          <w:tcPr>
            <w:tcW w:w="7012" w:type="dxa"/>
            <w:vAlign w:val="center"/>
          </w:tcPr>
          <w:p>
            <w:pPr>
              <w:pStyle w:val="45"/>
              <w:keepNext w:val="0"/>
              <w:keepLines w:val="0"/>
              <w:pageBreakBefore w:val="0"/>
              <w:widowControl w:val="0"/>
              <w:kinsoku/>
              <w:overflowPunct/>
              <w:topLinePunct w:val="0"/>
              <w:bidi w:val="0"/>
              <w:snapToGrid/>
              <w:spacing w:before="0" w:after="0" w:line="360" w:lineRule="auto"/>
              <w:jc w:val="left"/>
              <w:rPr>
                <w:rFonts w:hint="eastAsia" w:ascii="仿宋" w:hAnsi="仿宋" w:eastAsia="仿宋" w:cs="仿宋"/>
                <w:b w:val="0"/>
                <w:bCs w:val="0"/>
                <w:color w:val="auto"/>
                <w:sz w:val="21"/>
                <w:szCs w:val="21"/>
                <w:highlight w:val="none"/>
              </w:rPr>
            </w:pPr>
            <w:bookmarkStart w:id="427" w:name="_Toc16"/>
            <w:r>
              <w:rPr>
                <w:rFonts w:hint="eastAsia" w:ascii="仿宋" w:hAnsi="仿宋" w:eastAsia="仿宋" w:cs="仿宋"/>
                <w:b w:val="0"/>
                <w:bCs w:val="0"/>
                <w:color w:val="auto"/>
                <w:sz w:val="21"/>
                <w:szCs w:val="21"/>
                <w:highlight w:val="none"/>
                <w:lang w:eastAsia="zh-CN"/>
              </w:rPr>
              <w:t>投标人</w:t>
            </w:r>
            <w:r>
              <w:rPr>
                <w:rFonts w:hint="eastAsia" w:ascii="仿宋" w:hAnsi="仿宋" w:eastAsia="仿宋" w:cs="仿宋"/>
                <w:b w:val="0"/>
                <w:bCs w:val="0"/>
                <w:color w:val="auto"/>
                <w:sz w:val="21"/>
                <w:szCs w:val="21"/>
                <w:highlight w:val="none"/>
                <w:lang w:val="en-US" w:eastAsia="zh-CN"/>
              </w:rPr>
              <w:t>根据自身实际提供施工工期承诺</w:t>
            </w:r>
            <w:r>
              <w:rPr>
                <w:rFonts w:hint="eastAsia" w:ascii="仿宋" w:hAnsi="仿宋" w:eastAsia="仿宋" w:cs="仿宋"/>
                <w:b w:val="0"/>
                <w:bCs w:val="0"/>
                <w:color w:val="auto"/>
                <w:sz w:val="21"/>
                <w:szCs w:val="21"/>
                <w:highlight w:val="none"/>
              </w:rPr>
              <w:t>。</w:t>
            </w:r>
            <w:bookmarkEnd w:id="427"/>
          </w:p>
          <w:p>
            <w:pPr>
              <w:pStyle w:val="45"/>
              <w:keepNext w:val="0"/>
              <w:keepLines w:val="0"/>
              <w:pageBreakBefore w:val="0"/>
              <w:widowControl w:val="0"/>
              <w:kinsoku/>
              <w:overflowPunct/>
              <w:topLinePunct w:val="0"/>
              <w:bidi w:val="0"/>
              <w:snapToGrid/>
              <w:spacing w:before="0" w:after="0" w:line="360" w:lineRule="auto"/>
              <w:jc w:val="left"/>
              <w:rPr>
                <w:rFonts w:hint="eastAsia" w:ascii="仿宋" w:hAnsi="仿宋" w:eastAsia="仿宋" w:cs="仿宋"/>
                <w:b w:val="0"/>
                <w:bCs w:val="0"/>
                <w:color w:val="auto"/>
                <w:kern w:val="0"/>
                <w:sz w:val="21"/>
                <w:szCs w:val="21"/>
                <w:highlight w:val="none"/>
                <w:lang w:val="en-US" w:eastAsia="zh-CN" w:bidi="ar-SA"/>
              </w:rPr>
            </w:pPr>
            <w:bookmarkStart w:id="428" w:name="_Toc13937"/>
            <w:r>
              <w:rPr>
                <w:rFonts w:hint="eastAsia" w:ascii="仿宋" w:hAnsi="仿宋" w:eastAsia="仿宋" w:cs="仿宋"/>
                <w:b w:val="0"/>
                <w:bCs w:val="0"/>
                <w:color w:val="auto"/>
                <w:sz w:val="21"/>
                <w:szCs w:val="21"/>
                <w:highlight w:val="none"/>
                <w:lang w:val="en-US" w:eastAsia="zh-CN"/>
              </w:rPr>
              <w:t>施工工期最短得20分，每增加1天扣2分，扣完为止</w:t>
            </w:r>
            <w:r>
              <w:rPr>
                <w:rFonts w:hint="eastAsia" w:ascii="仿宋" w:hAnsi="仿宋" w:eastAsia="仿宋" w:cs="仿宋"/>
                <w:b w:val="0"/>
                <w:bCs w:val="0"/>
                <w:color w:val="auto"/>
                <w:sz w:val="21"/>
                <w:szCs w:val="21"/>
                <w:highlight w:val="none"/>
              </w:rPr>
              <w:t>。</w:t>
            </w:r>
            <w:bookmarkEnd w:id="428"/>
          </w:p>
        </w:tc>
      </w:tr>
    </w:tbl>
    <w:p>
      <w:pPr>
        <w:rPr>
          <w:rFonts w:hint="eastAsia" w:ascii="仿宋" w:hAnsi="仿宋" w:eastAsia="仿宋" w:cs="仿宋"/>
          <w:b/>
          <w:bCs/>
          <w:color w:val="auto"/>
          <w:sz w:val="24"/>
          <w:szCs w:val="24"/>
          <w:highlight w:val="none"/>
        </w:rPr>
      </w:pPr>
      <w:bookmarkStart w:id="429" w:name="_Toc17382"/>
      <w:bookmarkStart w:id="430" w:name="_Toc30498"/>
      <w:bookmarkStart w:id="431" w:name="_Toc18299"/>
      <w:bookmarkStart w:id="432" w:name="_Toc263"/>
      <w:bookmarkStart w:id="433" w:name="_Toc6874"/>
      <w:bookmarkStart w:id="434" w:name="_Toc22147"/>
      <w:bookmarkStart w:id="435" w:name="_Toc28653"/>
      <w:r>
        <w:rPr>
          <w:rFonts w:hint="eastAsia" w:ascii="仿宋" w:hAnsi="仿宋" w:eastAsia="仿宋" w:cs="仿宋"/>
          <w:b/>
          <w:bCs/>
          <w:color w:val="auto"/>
          <w:sz w:val="24"/>
          <w:szCs w:val="24"/>
          <w:highlight w:val="none"/>
        </w:rPr>
        <w:br w:type="page"/>
      </w:r>
    </w:p>
    <w:p>
      <w:pPr>
        <w:outlineLvl w:val="1"/>
        <w:rPr>
          <w:rFonts w:hint="eastAsia" w:ascii="仿宋" w:hAnsi="仿宋" w:eastAsia="仿宋" w:cs="仿宋"/>
          <w:b/>
          <w:bCs/>
          <w:color w:val="auto"/>
          <w:sz w:val="24"/>
          <w:szCs w:val="24"/>
          <w:highlight w:val="none"/>
        </w:rPr>
      </w:pPr>
      <w:bookmarkStart w:id="436" w:name="_Toc1035"/>
      <w:r>
        <w:rPr>
          <w:rFonts w:hint="eastAsia" w:ascii="仿宋" w:hAnsi="仿宋" w:eastAsia="仿宋" w:cs="仿宋"/>
          <w:b/>
          <w:bCs/>
          <w:color w:val="auto"/>
          <w:sz w:val="24"/>
          <w:szCs w:val="24"/>
          <w:highlight w:val="none"/>
        </w:rPr>
        <w:t>1.比选方法：</w:t>
      </w:r>
      <w:bookmarkEnd w:id="429"/>
      <w:bookmarkEnd w:id="430"/>
      <w:bookmarkEnd w:id="431"/>
      <w:bookmarkEnd w:id="432"/>
      <w:bookmarkEnd w:id="433"/>
      <w:bookmarkEnd w:id="434"/>
      <w:bookmarkEnd w:id="435"/>
      <w:bookmarkEnd w:id="436"/>
    </w:p>
    <w:p>
      <w:pPr>
        <w:tabs>
          <w:tab w:val="left" w:pos="2472"/>
        </w:tabs>
        <w:adjustRightInd w:val="0"/>
        <w:spacing w:line="500" w:lineRule="exact"/>
        <w:ind w:firstLine="442" w:firstLineChars="200"/>
        <w:jc w:val="left"/>
        <w:rPr>
          <w:rFonts w:hint="eastAsia" w:ascii="仿宋" w:hAnsi="仿宋" w:eastAsia="仿宋" w:cs="仿宋"/>
          <w:color w:val="auto"/>
          <w:kern w:val="0"/>
          <w:sz w:val="22"/>
          <w:szCs w:val="22"/>
          <w:highlight w:val="none"/>
        </w:rPr>
      </w:pPr>
      <w:r>
        <w:rPr>
          <w:rFonts w:hint="eastAsia" w:ascii="仿宋" w:hAnsi="仿宋" w:eastAsia="仿宋" w:cs="仿宋"/>
          <w:b/>
          <w:color w:val="auto"/>
          <w:kern w:val="0"/>
          <w:sz w:val="22"/>
          <w:szCs w:val="22"/>
          <w:highlight w:val="none"/>
        </w:rPr>
        <w:t>1.1本次比选采用综合评分法。</w:t>
      </w:r>
      <w:r>
        <w:rPr>
          <w:rFonts w:hint="eastAsia" w:ascii="仿宋" w:hAnsi="仿宋" w:eastAsia="仿宋" w:cs="仿宋"/>
          <w:color w:val="auto"/>
          <w:kern w:val="0"/>
          <w:sz w:val="22"/>
          <w:szCs w:val="22"/>
          <w:highlight w:val="none"/>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w:t>
      </w:r>
      <w:r>
        <w:rPr>
          <w:rFonts w:hint="eastAsia" w:ascii="仿宋" w:hAnsi="仿宋" w:eastAsia="仿宋" w:cs="仿宋"/>
          <w:color w:val="auto"/>
          <w:kern w:val="0"/>
          <w:sz w:val="22"/>
          <w:szCs w:val="22"/>
          <w:highlight w:val="none"/>
          <w:lang w:eastAsia="zh-CN"/>
        </w:rPr>
        <w:t>，</w:t>
      </w:r>
      <w:r>
        <w:rPr>
          <w:rFonts w:hint="eastAsia" w:ascii="仿宋" w:hAnsi="仿宋" w:eastAsia="仿宋" w:cs="仿宋"/>
          <w:color w:val="auto"/>
          <w:kern w:val="0"/>
          <w:sz w:val="22"/>
          <w:szCs w:val="22"/>
          <w:highlight w:val="none"/>
          <w:lang w:val="en-US" w:eastAsia="zh-CN"/>
        </w:rPr>
        <w:t>若最终排名仍一致时，由比选小组不记名投票决定中标候选单位排序</w:t>
      </w:r>
      <w:r>
        <w:rPr>
          <w:rFonts w:hint="eastAsia" w:ascii="仿宋" w:hAnsi="仿宋" w:eastAsia="仿宋" w:cs="仿宋"/>
          <w:color w:val="auto"/>
          <w:kern w:val="0"/>
          <w:sz w:val="22"/>
          <w:szCs w:val="22"/>
          <w:highlight w:val="none"/>
        </w:rPr>
        <w:t>。</w:t>
      </w:r>
    </w:p>
    <w:p>
      <w:pPr>
        <w:spacing w:line="500" w:lineRule="exact"/>
        <w:ind w:firstLine="442" w:firstLineChars="200"/>
        <w:rPr>
          <w:rFonts w:hint="eastAsia" w:ascii="仿宋" w:hAnsi="仿宋" w:eastAsia="仿宋" w:cs="仿宋"/>
          <w:b/>
          <w:color w:val="auto"/>
          <w:sz w:val="22"/>
          <w:szCs w:val="22"/>
          <w:highlight w:val="none"/>
        </w:rPr>
      </w:pPr>
      <w:r>
        <w:rPr>
          <w:rFonts w:hint="eastAsia" w:ascii="仿宋" w:hAnsi="仿宋" w:eastAsia="仿宋" w:cs="仿宋"/>
          <w:b/>
          <w:color w:val="auto"/>
          <w:sz w:val="22"/>
          <w:szCs w:val="22"/>
          <w:highlight w:val="none"/>
        </w:rPr>
        <w:t>1.2比选小组及其成员不得有下列行为，否则其评审意见无效，并不得获取评审劳务报酬和报销异地评审差旅费：</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b/>
          <w:color w:val="auto"/>
          <w:sz w:val="22"/>
          <w:szCs w:val="22"/>
          <w:highlight w:val="none"/>
        </w:rPr>
        <w:t>　　</w:t>
      </w:r>
      <w:r>
        <w:rPr>
          <w:rFonts w:hint="eastAsia" w:ascii="仿宋" w:hAnsi="仿宋" w:eastAsia="仿宋" w:cs="仿宋"/>
          <w:color w:val="auto"/>
          <w:sz w:val="22"/>
          <w:szCs w:val="22"/>
          <w:highlight w:val="none"/>
        </w:rPr>
        <w:t>（一）确定参与评标至评标结束前私自接触投标人；</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（二）接受投标人提出的与响应文件不一致的澄清或者说明</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（三）违反评标纪律发表倾向性意见或者征询招标人的倾向性意见；</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（四）对需要专业判断的主观评审因素协商评分；</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（五）在评标过程中擅离职守，影响评标程序正常进行的；</w:t>
      </w:r>
    </w:p>
    <w:p>
      <w:pPr>
        <w:spacing w:line="500" w:lineRule="exac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（六）记录、复制或者带走任何评标资料；</w:t>
      </w:r>
    </w:p>
    <w:p>
      <w:pPr>
        <w:spacing w:line="500" w:lineRule="exact"/>
        <w:rPr>
          <w:rFonts w:hint="eastAsia" w:ascii="仿宋" w:hAnsi="仿宋" w:eastAsia="仿宋" w:cs="仿宋"/>
          <w:bCs/>
          <w:color w:val="auto"/>
          <w:sz w:val="20"/>
          <w:szCs w:val="22"/>
          <w:highlight w:val="none"/>
        </w:rPr>
      </w:pPr>
      <w:r>
        <w:rPr>
          <w:rFonts w:hint="eastAsia" w:ascii="仿宋" w:hAnsi="仿宋" w:eastAsia="仿宋" w:cs="仿宋"/>
          <w:color w:val="auto"/>
          <w:sz w:val="22"/>
          <w:szCs w:val="22"/>
          <w:highlight w:val="none"/>
        </w:rPr>
        <w:t>　 （七）其他不遵守评标纪律的行为。</w:t>
      </w:r>
    </w:p>
    <w:p>
      <w:pPr>
        <w:pStyle w:val="3"/>
        <w:numPr>
          <w:ilvl w:val="0"/>
          <w:numId w:val="0"/>
        </w:numPr>
        <w:spacing w:before="0" w:after="0" w:line="500" w:lineRule="exact"/>
        <w:jc w:val="both"/>
        <w:rPr>
          <w:rFonts w:hint="eastAsia" w:ascii="仿宋" w:hAnsi="仿宋" w:eastAsia="仿宋" w:cs="仿宋"/>
          <w:color w:val="auto"/>
          <w:sz w:val="24"/>
          <w:szCs w:val="24"/>
          <w:highlight w:val="none"/>
        </w:rPr>
      </w:pPr>
      <w:bookmarkStart w:id="437" w:name="_Toc8953"/>
      <w:bookmarkStart w:id="438" w:name="_Toc19148"/>
      <w:bookmarkStart w:id="439" w:name="_Toc20548"/>
      <w:bookmarkStart w:id="440" w:name="_Toc1475"/>
      <w:bookmarkStart w:id="441" w:name="_Toc24149"/>
      <w:bookmarkStart w:id="442" w:name="_Toc569"/>
      <w:bookmarkStart w:id="443" w:name="_Toc13693"/>
      <w:bookmarkStart w:id="444" w:name="_Toc19732"/>
      <w:r>
        <w:rPr>
          <w:rFonts w:hint="eastAsia" w:ascii="仿宋" w:hAnsi="仿宋" w:eastAsia="仿宋" w:cs="仿宋"/>
          <w:color w:val="auto"/>
          <w:sz w:val="24"/>
          <w:szCs w:val="24"/>
          <w:highlight w:val="none"/>
        </w:rPr>
        <w:t>2.评审标准</w:t>
      </w:r>
      <w:bookmarkEnd w:id="437"/>
      <w:bookmarkEnd w:id="438"/>
      <w:bookmarkEnd w:id="439"/>
      <w:bookmarkEnd w:id="440"/>
      <w:bookmarkEnd w:id="441"/>
      <w:bookmarkEnd w:id="442"/>
      <w:bookmarkEnd w:id="443"/>
      <w:bookmarkEnd w:id="444"/>
    </w:p>
    <w:p>
      <w:pPr>
        <w:tabs>
          <w:tab w:val="left" w:pos="2472"/>
        </w:tabs>
        <w:autoSpaceDE w:val="0"/>
        <w:autoSpaceDN w:val="0"/>
        <w:adjustRightInd w:val="0"/>
        <w:spacing w:line="500" w:lineRule="exact"/>
        <w:jc w:val="left"/>
        <w:rPr>
          <w:rFonts w:hint="eastAsia" w:ascii="仿宋" w:hAnsi="仿宋" w:eastAsia="仿宋" w:cs="仿宋"/>
          <w:color w:val="auto"/>
          <w:kern w:val="0"/>
          <w:sz w:val="18"/>
          <w:szCs w:val="22"/>
          <w:highlight w:val="none"/>
        </w:rPr>
      </w:pPr>
      <w:r>
        <w:rPr>
          <w:rFonts w:hint="eastAsia" w:ascii="仿宋" w:hAnsi="仿宋" w:eastAsia="仿宋" w:cs="仿宋"/>
          <w:b/>
          <w:bCs/>
          <w:color w:val="auto"/>
          <w:kern w:val="0"/>
          <w:sz w:val="22"/>
          <w:szCs w:val="22"/>
          <w:highlight w:val="none"/>
        </w:rPr>
        <w:t>2.1实质性要求审查标准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实质性要求审查标准：依据法律法规和比选文件的规定，对响应文件中的资格证明等实质性要求审查标准进行审查，见“评审程序和方法前附表”。</w:t>
      </w:r>
    </w:p>
    <w:p>
      <w:pPr>
        <w:tabs>
          <w:tab w:val="left" w:pos="2472"/>
        </w:tabs>
        <w:autoSpaceDE w:val="0"/>
        <w:autoSpaceDN w:val="0"/>
        <w:adjustRightInd w:val="0"/>
        <w:spacing w:line="500" w:lineRule="exact"/>
        <w:jc w:val="left"/>
        <w:rPr>
          <w:rFonts w:hint="eastAsia" w:ascii="仿宋" w:hAnsi="仿宋" w:eastAsia="仿宋" w:cs="仿宋"/>
          <w:b/>
          <w:bCs/>
          <w:color w:val="auto"/>
          <w:kern w:val="0"/>
          <w:sz w:val="22"/>
          <w:szCs w:val="22"/>
          <w:highlight w:val="none"/>
        </w:rPr>
      </w:pPr>
      <w:r>
        <w:rPr>
          <w:rFonts w:hint="eastAsia" w:ascii="仿宋" w:hAnsi="仿宋" w:eastAsia="仿宋" w:cs="仿宋"/>
          <w:b/>
          <w:bCs/>
          <w:color w:val="auto"/>
          <w:kern w:val="0"/>
          <w:sz w:val="22"/>
          <w:szCs w:val="22"/>
          <w:highlight w:val="none"/>
        </w:rPr>
        <w:t>2.2 分值构成与评分标准</w:t>
      </w:r>
      <w:r>
        <w:rPr>
          <w:rFonts w:hint="eastAsia" w:ascii="仿宋" w:hAnsi="仿宋" w:eastAsia="仿宋" w:cs="仿宋"/>
          <w:b/>
          <w:bCs/>
          <w:color w:val="auto"/>
          <w:kern w:val="0"/>
          <w:sz w:val="22"/>
          <w:szCs w:val="22"/>
          <w:highlight w:val="none"/>
          <w:lang w:eastAsia="zh-CN"/>
        </w:rPr>
        <w:t>：</w:t>
      </w:r>
      <w:r>
        <w:rPr>
          <w:rFonts w:hint="eastAsia" w:ascii="仿宋" w:hAnsi="仿宋" w:eastAsia="仿宋" w:cs="仿宋"/>
          <w:color w:val="auto"/>
          <w:kern w:val="0"/>
          <w:sz w:val="22"/>
          <w:szCs w:val="22"/>
          <w:highlight w:val="none"/>
        </w:rPr>
        <w:t>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b w:val="0"/>
          <w:bCs w:val="0"/>
          <w:color w:val="auto"/>
          <w:kern w:val="0"/>
          <w:sz w:val="22"/>
          <w:szCs w:val="22"/>
          <w:highlight w:val="none"/>
          <w:lang w:val="en-US" w:eastAsia="zh-CN"/>
        </w:rPr>
        <w:t xml:space="preserve">2.2.1 </w:t>
      </w:r>
      <w:r>
        <w:rPr>
          <w:rFonts w:hint="eastAsia" w:ascii="仿宋" w:hAnsi="仿宋" w:eastAsia="仿宋" w:cs="仿宋"/>
          <w:b w:val="0"/>
          <w:bCs w:val="0"/>
          <w:color w:val="auto"/>
          <w:kern w:val="0"/>
          <w:sz w:val="22"/>
          <w:szCs w:val="22"/>
          <w:highlight w:val="none"/>
        </w:rPr>
        <w:t>分值构成与评分标准</w:t>
      </w:r>
      <w:r>
        <w:rPr>
          <w:rFonts w:hint="eastAsia" w:ascii="仿宋" w:hAnsi="仿宋" w:eastAsia="仿宋" w:cs="仿宋"/>
          <w:b w:val="0"/>
          <w:bCs w:val="0"/>
          <w:color w:val="auto"/>
          <w:kern w:val="0"/>
          <w:sz w:val="22"/>
          <w:szCs w:val="22"/>
          <w:highlight w:val="none"/>
          <w:lang w:eastAsia="zh-CN"/>
        </w:rPr>
        <w:t>：</w:t>
      </w:r>
      <w:r>
        <w:rPr>
          <w:rFonts w:hint="eastAsia" w:ascii="仿宋" w:hAnsi="仿宋" w:eastAsia="仿宋" w:cs="仿宋"/>
          <w:color w:val="auto"/>
          <w:kern w:val="0"/>
          <w:sz w:val="22"/>
          <w:szCs w:val="22"/>
          <w:highlight w:val="none"/>
        </w:rPr>
        <w:t>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2.2.2 评标基准价计算方法：见评审程序和方法前附表。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2.2.3 评分标准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按比选文件中规定的评审方法和标准，对实质性要求审查标准合格的响应文件进行商务和技术评估，综合比较与评价。</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（1）报价部分评分标准：见评审程序和方法前附表；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（2）技术部分评分标准：见评审程序和方法前附表；</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w:t>
      </w:r>
      <w:r>
        <w:rPr>
          <w:rFonts w:hint="eastAsia" w:ascii="仿宋" w:hAnsi="仿宋" w:eastAsia="仿宋" w:cs="仿宋"/>
          <w:color w:val="auto"/>
          <w:kern w:val="0"/>
          <w:sz w:val="22"/>
          <w:szCs w:val="22"/>
          <w:highlight w:val="none"/>
          <w:lang w:eastAsia="zh-CN"/>
        </w:rPr>
        <w:t>服务部分</w:t>
      </w:r>
      <w:r>
        <w:rPr>
          <w:rFonts w:hint="eastAsia" w:ascii="仿宋" w:hAnsi="仿宋" w:eastAsia="仿宋" w:cs="仿宋"/>
          <w:color w:val="auto"/>
          <w:kern w:val="0"/>
          <w:sz w:val="22"/>
          <w:szCs w:val="22"/>
          <w:highlight w:val="none"/>
        </w:rPr>
        <w:t>评分标准：见评审程序和方法前附表。</w:t>
      </w:r>
    </w:p>
    <w:p>
      <w:pPr>
        <w:pStyle w:val="3"/>
        <w:numPr>
          <w:ilvl w:val="0"/>
          <w:numId w:val="0"/>
        </w:numPr>
        <w:spacing w:before="0" w:after="0" w:line="500" w:lineRule="exact"/>
        <w:jc w:val="both"/>
        <w:rPr>
          <w:rFonts w:hint="eastAsia" w:ascii="仿宋" w:hAnsi="仿宋" w:eastAsia="仿宋" w:cs="仿宋"/>
          <w:color w:val="auto"/>
          <w:sz w:val="24"/>
          <w:szCs w:val="24"/>
          <w:highlight w:val="none"/>
        </w:rPr>
      </w:pPr>
      <w:bookmarkStart w:id="445" w:name="_Toc12149"/>
      <w:bookmarkStart w:id="446" w:name="_Toc5638"/>
      <w:bookmarkStart w:id="447" w:name="_Toc26415"/>
      <w:bookmarkStart w:id="448" w:name="_Toc10274"/>
      <w:bookmarkStart w:id="449" w:name="_Toc26934"/>
      <w:bookmarkStart w:id="450" w:name="_Toc20939"/>
      <w:bookmarkStart w:id="451" w:name="_Toc395"/>
      <w:bookmarkStart w:id="452" w:name="_Toc3002"/>
      <w:r>
        <w:rPr>
          <w:rFonts w:hint="eastAsia" w:ascii="仿宋" w:hAnsi="仿宋" w:eastAsia="仿宋" w:cs="仿宋"/>
          <w:color w:val="auto"/>
          <w:sz w:val="24"/>
          <w:szCs w:val="24"/>
          <w:highlight w:val="none"/>
        </w:rPr>
        <w:t>3. 评审程序</w:t>
      </w:r>
      <w:bookmarkEnd w:id="445"/>
      <w:bookmarkEnd w:id="446"/>
      <w:bookmarkEnd w:id="447"/>
      <w:bookmarkEnd w:id="448"/>
      <w:bookmarkEnd w:id="449"/>
      <w:bookmarkEnd w:id="450"/>
      <w:bookmarkEnd w:id="451"/>
      <w:bookmarkEnd w:id="452"/>
    </w:p>
    <w:p>
      <w:pPr>
        <w:tabs>
          <w:tab w:val="left" w:pos="2472"/>
        </w:tabs>
        <w:autoSpaceDE w:val="0"/>
        <w:autoSpaceDN w:val="0"/>
        <w:adjustRightInd w:val="0"/>
        <w:spacing w:line="500" w:lineRule="exact"/>
        <w:jc w:val="left"/>
        <w:rPr>
          <w:rFonts w:hint="eastAsia" w:ascii="仿宋" w:hAnsi="仿宋" w:eastAsia="仿宋" w:cs="仿宋"/>
          <w:b/>
          <w:bCs/>
          <w:color w:val="auto"/>
          <w:kern w:val="0"/>
          <w:sz w:val="22"/>
          <w:szCs w:val="22"/>
          <w:highlight w:val="none"/>
        </w:rPr>
      </w:pPr>
      <w:r>
        <w:rPr>
          <w:rFonts w:hint="eastAsia" w:ascii="仿宋" w:hAnsi="仿宋" w:eastAsia="仿宋" w:cs="仿宋"/>
          <w:b/>
          <w:bCs/>
          <w:color w:val="auto"/>
          <w:kern w:val="0"/>
          <w:sz w:val="22"/>
          <w:szCs w:val="22"/>
          <w:highlight w:val="none"/>
        </w:rPr>
        <w:t>3.1 实质性要求审查</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3.1.1 比选小组依据本章第2.1项规定的标准对响应文件进行实质性要求审查。有一项不符合审查标准的，该响应文件按无效比选处理。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3.1.2 响应文件如果出现计算或表达上的错误，修正错误的原则如下：</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（1）报价的大写金额和小写金额不一致的，以大写金额为准；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（2）总价金额与按单价汇总金额不一致的，以单价金额计算结果为准；</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（3）单价金额小数点有明显错位的，应以总价为准，并修改单价；</w:t>
      </w:r>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（4）对不同文字文本响应文件的解释发生异议的，以中文文本为准。</w:t>
      </w:r>
    </w:p>
    <w:p>
      <w:pPr>
        <w:tabs>
          <w:tab w:val="left" w:pos="2472"/>
        </w:tabs>
        <w:autoSpaceDE w:val="0"/>
        <w:autoSpaceDN w:val="0"/>
        <w:adjustRightInd w:val="0"/>
        <w:spacing w:line="500" w:lineRule="exact"/>
        <w:ind w:firstLine="442" w:firstLineChars="200"/>
        <w:jc w:val="left"/>
        <w:rPr>
          <w:rFonts w:hint="eastAsia" w:ascii="仿宋" w:hAnsi="仿宋" w:eastAsia="仿宋" w:cs="仿宋"/>
          <w:color w:val="auto"/>
          <w:kern w:val="0"/>
          <w:sz w:val="22"/>
          <w:szCs w:val="22"/>
          <w:highlight w:val="none"/>
        </w:rPr>
      </w:pPr>
      <w:r>
        <w:rPr>
          <w:rFonts w:hint="eastAsia" w:ascii="仿宋" w:hAnsi="仿宋" w:eastAsia="仿宋" w:cs="仿宋"/>
          <w:b/>
          <w:color w:val="auto"/>
          <w:kern w:val="0"/>
          <w:sz w:val="22"/>
          <w:szCs w:val="22"/>
          <w:highlight w:val="none"/>
        </w:rPr>
        <w:t>★</w:t>
      </w:r>
      <w:r>
        <w:rPr>
          <w:rFonts w:hint="eastAsia" w:ascii="仿宋" w:hAnsi="仿宋" w:eastAsia="仿宋" w:cs="仿宋"/>
          <w:color w:val="auto"/>
          <w:kern w:val="0"/>
          <w:sz w:val="22"/>
          <w:szCs w:val="22"/>
          <w:highlight w:val="none"/>
        </w:rPr>
        <w:t>（5）按上述修正错误的原则及方法调整或修正响应文件的最终报价，投标人同意后，调整后的最终报价对投标人起约束作用。如果投标人不接受修正后的报价，视为未实质性响应比选文件要求。</w:t>
      </w:r>
    </w:p>
    <w:p>
      <w:pPr>
        <w:keepNext/>
        <w:keepLines/>
        <w:tabs>
          <w:tab w:val="left" w:pos="1588"/>
        </w:tabs>
        <w:spacing w:line="500" w:lineRule="exact"/>
        <w:ind w:firstLine="442" w:firstLineChars="200"/>
        <w:outlineLvl w:val="2"/>
        <w:rPr>
          <w:rFonts w:hint="eastAsia" w:ascii="仿宋" w:hAnsi="仿宋" w:eastAsia="仿宋" w:cs="仿宋"/>
          <w:b/>
          <w:bCs/>
          <w:color w:val="auto"/>
          <w:sz w:val="22"/>
          <w:szCs w:val="22"/>
          <w:highlight w:val="none"/>
        </w:rPr>
      </w:pPr>
      <w:bookmarkStart w:id="453" w:name="_Toc5300"/>
      <w:bookmarkStart w:id="454" w:name="_Toc7290"/>
      <w:bookmarkStart w:id="455" w:name="_Toc9127"/>
      <w:r>
        <w:rPr>
          <w:rFonts w:hint="eastAsia" w:ascii="仿宋" w:hAnsi="仿宋" w:eastAsia="仿宋" w:cs="仿宋"/>
          <w:b/>
          <w:bCs/>
          <w:color w:val="auto"/>
          <w:sz w:val="22"/>
          <w:szCs w:val="22"/>
          <w:highlight w:val="none"/>
        </w:rPr>
        <w:t>3.2 详细评审</w:t>
      </w:r>
      <w:bookmarkEnd w:id="453"/>
      <w:bookmarkEnd w:id="454"/>
      <w:bookmarkEnd w:id="455"/>
    </w:p>
    <w:p>
      <w:pPr>
        <w:tabs>
          <w:tab w:val="left" w:pos="2472"/>
        </w:tabs>
        <w:autoSpaceDE w:val="0"/>
        <w:autoSpaceDN w:val="0"/>
        <w:adjustRightInd w:val="0"/>
        <w:spacing w:line="500" w:lineRule="exact"/>
        <w:ind w:firstLine="440" w:firstLineChars="200"/>
        <w:jc w:val="left"/>
        <w:rPr>
          <w:rFonts w:hint="eastAsia" w:ascii="仿宋" w:hAnsi="仿宋" w:eastAsia="仿宋" w:cs="仿宋"/>
          <w:color w:val="auto"/>
          <w:kern w:val="0"/>
          <w:sz w:val="22"/>
          <w:szCs w:val="22"/>
          <w:highlight w:val="none"/>
        </w:rPr>
      </w:pPr>
      <w:r>
        <w:rPr>
          <w:rFonts w:hint="eastAsia" w:ascii="仿宋" w:hAnsi="仿宋" w:eastAsia="仿宋" w:cs="仿宋"/>
          <w:color w:val="auto"/>
          <w:kern w:val="0"/>
          <w:sz w:val="22"/>
          <w:szCs w:val="22"/>
          <w:highlight w:val="none"/>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3.2.2得分由比选小组成员独立评分，</w:t>
      </w:r>
      <w:r>
        <w:rPr>
          <w:rFonts w:hint="eastAsia" w:ascii="仿宋" w:hAnsi="仿宋" w:eastAsia="仿宋" w:cs="仿宋"/>
          <w:bCs/>
          <w:color w:val="auto"/>
          <w:sz w:val="22"/>
          <w:szCs w:val="22"/>
          <w:highlight w:val="none"/>
        </w:rPr>
        <w:t>投标人各项评分因素得分为该项因素各评委评分的算术平均值（保留小数点后两位）</w:t>
      </w:r>
      <w:r>
        <w:rPr>
          <w:rFonts w:hint="eastAsia" w:ascii="仿宋" w:hAnsi="仿宋" w:eastAsia="仿宋" w:cs="仿宋"/>
          <w:color w:val="auto"/>
          <w:sz w:val="22"/>
          <w:szCs w:val="22"/>
          <w:highlight w:val="none"/>
        </w:rPr>
        <w:t>，小数点后第三位“四舍五入”。</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pPr>
        <w:keepNext/>
        <w:keepLines/>
        <w:tabs>
          <w:tab w:val="left" w:pos="1588"/>
        </w:tabs>
        <w:spacing w:line="500" w:lineRule="exact"/>
        <w:ind w:firstLine="442" w:firstLineChars="200"/>
        <w:outlineLvl w:val="2"/>
        <w:rPr>
          <w:rFonts w:hint="eastAsia" w:ascii="仿宋" w:hAnsi="仿宋" w:eastAsia="仿宋" w:cs="仿宋"/>
          <w:b/>
          <w:bCs/>
          <w:color w:val="auto"/>
          <w:sz w:val="22"/>
          <w:szCs w:val="22"/>
          <w:highlight w:val="none"/>
        </w:rPr>
      </w:pPr>
      <w:bookmarkStart w:id="456" w:name="_Toc890"/>
      <w:bookmarkStart w:id="457" w:name="_Toc2051"/>
      <w:bookmarkStart w:id="458" w:name="_Toc24951"/>
      <w:r>
        <w:rPr>
          <w:rFonts w:hint="eastAsia" w:ascii="仿宋" w:hAnsi="仿宋" w:eastAsia="仿宋" w:cs="仿宋"/>
          <w:b/>
          <w:bCs/>
          <w:color w:val="auto"/>
          <w:sz w:val="22"/>
          <w:szCs w:val="22"/>
          <w:highlight w:val="none"/>
        </w:rPr>
        <w:t>3.3 响应文件的澄清</w:t>
      </w:r>
      <w:bookmarkEnd w:id="456"/>
      <w:bookmarkEnd w:id="457"/>
      <w:bookmarkEnd w:id="458"/>
      <w:r>
        <w:rPr>
          <w:rFonts w:hint="eastAsia" w:ascii="仿宋" w:hAnsi="仿宋" w:eastAsia="仿宋" w:cs="仿宋"/>
          <w:b/>
          <w:bCs/>
          <w:color w:val="auto"/>
          <w:sz w:val="22"/>
          <w:szCs w:val="22"/>
          <w:highlight w:val="none"/>
        </w:rPr>
        <w:t xml:space="preserve"> </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（1）响应文件内容澄清</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（2）报价不一致情形澄清</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 xml:space="preserve">（3）报价过低情形澄清 </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比选小组认为投标人的报价明显低于其他通过符合性审查投标人的报价(总价或单价)，有可能影响产品质量或者不能诚信履约的，应当要求其在评标现场合理的时间内提供书面说明，必要时提交相关证明材料；投标人不能证明其报价合理性的，比选小组应当将其作为无效投标处理。</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pPr>
        <w:spacing w:line="500" w:lineRule="exact"/>
        <w:ind w:firstLine="440" w:firstLineChars="200"/>
        <w:jc w:val="left"/>
        <w:rPr>
          <w:rFonts w:hint="eastAsia" w:ascii="仿宋" w:hAnsi="仿宋" w:eastAsia="仿宋" w:cs="仿宋"/>
          <w:color w:val="auto"/>
          <w:sz w:val="22"/>
          <w:szCs w:val="22"/>
          <w:highlight w:val="none"/>
        </w:rPr>
      </w:pPr>
      <w:r>
        <w:rPr>
          <w:rFonts w:hint="eastAsia" w:ascii="仿宋" w:hAnsi="仿宋" w:eastAsia="仿宋" w:cs="仿宋"/>
          <w:color w:val="auto"/>
          <w:sz w:val="22"/>
          <w:szCs w:val="22"/>
          <w:highlight w:val="none"/>
        </w:rPr>
        <w:t>3.3.3 比选小组对投标人提交的澄清、说明或补正有疑问的，可以要求投标人进一步澄清、说明或补正，直至满足比选小组的要求比选小组对投标人提交的澄清、说明有疑问的，可以要求投标人进一步澄清、说明。</w:t>
      </w:r>
    </w:p>
    <w:p>
      <w:pPr>
        <w:keepNext/>
        <w:keepLines/>
        <w:tabs>
          <w:tab w:val="left" w:pos="1588"/>
        </w:tabs>
        <w:spacing w:line="500" w:lineRule="exact"/>
        <w:ind w:firstLine="442" w:firstLineChars="200"/>
        <w:outlineLvl w:val="2"/>
        <w:rPr>
          <w:rFonts w:hint="eastAsia" w:ascii="仿宋" w:hAnsi="仿宋" w:eastAsia="仿宋" w:cs="仿宋"/>
          <w:b/>
          <w:bCs/>
          <w:color w:val="auto"/>
          <w:sz w:val="22"/>
          <w:szCs w:val="22"/>
          <w:highlight w:val="none"/>
        </w:rPr>
      </w:pPr>
      <w:bookmarkStart w:id="459" w:name="_Toc15198"/>
      <w:bookmarkStart w:id="460" w:name="_Toc5642"/>
      <w:r>
        <w:rPr>
          <w:rFonts w:hint="eastAsia" w:ascii="仿宋" w:hAnsi="仿宋" w:eastAsia="仿宋" w:cs="仿宋"/>
          <w:b/>
          <w:bCs/>
          <w:color w:val="auto"/>
          <w:sz w:val="22"/>
          <w:szCs w:val="22"/>
          <w:highlight w:val="none"/>
        </w:rPr>
        <w:t>3.4特殊情况的处置程序</w:t>
      </w:r>
      <w:bookmarkEnd w:id="459"/>
      <w:bookmarkEnd w:id="460"/>
    </w:p>
    <w:p>
      <w:pPr>
        <w:pStyle w:val="19"/>
        <w:spacing w:line="420" w:lineRule="exact"/>
        <w:ind w:firstLine="440" w:firstLineChars="200"/>
        <w:rPr>
          <w:rFonts w:hint="eastAsia" w:ascii="仿宋" w:hAnsi="仿宋" w:eastAsia="仿宋" w:cs="仿宋"/>
          <w:color w:val="auto"/>
          <w:kern w:val="2"/>
          <w:sz w:val="22"/>
          <w:szCs w:val="22"/>
          <w:highlight w:val="none"/>
        </w:rPr>
      </w:pPr>
      <w:r>
        <w:rPr>
          <w:rFonts w:hint="eastAsia" w:ascii="仿宋" w:hAnsi="仿宋" w:eastAsia="仿宋" w:cs="仿宋"/>
          <w:color w:val="auto"/>
          <w:kern w:val="2"/>
          <w:sz w:val="22"/>
          <w:szCs w:val="22"/>
          <w:highlight w:val="none"/>
        </w:rPr>
        <w:t>3.4.1关于评审活动暂停</w:t>
      </w:r>
    </w:p>
    <w:p>
      <w:pPr>
        <w:pStyle w:val="19"/>
        <w:spacing w:line="420" w:lineRule="exact"/>
        <w:ind w:firstLine="440" w:firstLineChars="200"/>
        <w:rPr>
          <w:rFonts w:hint="eastAsia" w:ascii="仿宋" w:hAnsi="仿宋" w:eastAsia="仿宋" w:cs="仿宋"/>
          <w:color w:val="auto"/>
          <w:kern w:val="2"/>
          <w:sz w:val="22"/>
          <w:szCs w:val="22"/>
          <w:highlight w:val="none"/>
        </w:rPr>
      </w:pPr>
      <w:r>
        <w:rPr>
          <w:rFonts w:hint="eastAsia" w:ascii="仿宋" w:hAnsi="仿宋" w:eastAsia="仿宋" w:cs="仿宋"/>
          <w:color w:val="auto"/>
          <w:kern w:val="2"/>
          <w:sz w:val="22"/>
          <w:szCs w:val="22"/>
          <w:highlight w:val="none"/>
        </w:rPr>
        <w:t>3.4.1.1比选小组应当执行连续评审的原则，按评审办法中规定的程序、内容、方法、标准完成全部评审工作。只有发生不可抗力导致评审工作无法继续时，评审活动方可暂停。</w:t>
      </w:r>
    </w:p>
    <w:p>
      <w:pPr>
        <w:pStyle w:val="19"/>
        <w:spacing w:line="420" w:lineRule="exact"/>
        <w:ind w:firstLine="440" w:firstLineChars="200"/>
        <w:rPr>
          <w:rFonts w:hint="eastAsia" w:ascii="仿宋" w:hAnsi="仿宋" w:eastAsia="仿宋" w:cs="仿宋"/>
          <w:color w:val="auto"/>
          <w:kern w:val="2"/>
          <w:sz w:val="22"/>
          <w:szCs w:val="22"/>
          <w:highlight w:val="none"/>
        </w:rPr>
      </w:pPr>
      <w:r>
        <w:rPr>
          <w:rFonts w:hint="eastAsia" w:ascii="仿宋" w:hAnsi="仿宋" w:eastAsia="仿宋" w:cs="仿宋"/>
          <w:color w:val="auto"/>
          <w:kern w:val="2"/>
          <w:sz w:val="22"/>
          <w:szCs w:val="22"/>
          <w:highlight w:val="none"/>
        </w:rPr>
        <w:t>3.4.1.2发生评审暂停情况时，比选小组应当封存全部响应文件和评审记录，待不可抗力的影响结束且具备继续评审的条件时，由原比选小组继续评审。</w:t>
      </w:r>
      <w:bookmarkEnd w:id="3"/>
      <w:bookmarkEnd w:id="4"/>
      <w:bookmarkEnd w:id="5"/>
      <w:bookmarkEnd w:id="6"/>
      <w:bookmarkEnd w:id="7"/>
      <w:bookmarkEnd w:id="8"/>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Arial Narrow">
    <w:panose1 w:val="020B0606020202030204"/>
    <w:charset w:val="00"/>
    <w:family w:val="swiss"/>
    <w:pitch w:val="default"/>
    <w:sig w:usb0="00000287" w:usb1="00000800" w:usb2="00000000" w:usb3="00000000" w:csb0="2000009F" w:csb1="DFD70000"/>
  </w:font>
  <w:font w:name="Arial Unicode MS">
    <w:altName w:val="宋体"/>
    <w:panose1 w:val="020B0604020202020204"/>
    <w:charset w:val="86"/>
    <w:family w:val="swiss"/>
    <w:pitch w:val="default"/>
    <w:sig w:usb0="00000000" w:usb1="00000000" w:usb2="0000003F" w:usb3="00000000" w:csb0="603F01FF" w:csb1="FFFF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创艺简楷体">
    <w:altName w:val="宋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 xml:space="preserve">第 </w:t>
                          </w:r>
                          <w:r>
                            <w:rPr>
                              <w:rFonts w:hint="eastAsia" w:ascii="仿宋" w:hAnsi="仿宋" w:eastAsia="仿宋" w:cs="仿宋"/>
                              <w:b/>
                              <w:spacing w:val="-6"/>
                              <w:sz w:val="20"/>
                            </w:rPr>
                            <w:fldChar w:fldCharType="begin"/>
                          </w:r>
                          <w:r>
                            <w:rPr>
                              <w:rFonts w:hint="eastAsia" w:ascii="仿宋" w:hAnsi="仿宋" w:eastAsia="仿宋" w:cs="仿宋"/>
                              <w:b/>
                              <w:spacing w:val="-6"/>
                              <w:sz w:val="20"/>
                            </w:rPr>
                            <w:instrText xml:space="preserve"> PAGE  \* MERGEFORMAT </w:instrText>
                          </w:r>
                          <w:r>
                            <w:rPr>
                              <w:rFonts w:hint="eastAsia" w:ascii="仿宋" w:hAnsi="仿宋" w:eastAsia="仿宋" w:cs="仿宋"/>
                              <w:b/>
                              <w:spacing w:val="-6"/>
                              <w:sz w:val="20"/>
                            </w:rPr>
                            <w:fldChar w:fldCharType="separate"/>
                          </w:r>
                          <w:r>
                            <w:rPr>
                              <w:rFonts w:hint="eastAsia" w:ascii="仿宋" w:hAnsi="仿宋" w:eastAsia="仿宋" w:cs="仿宋"/>
                              <w:b/>
                              <w:spacing w:val="-6"/>
                              <w:sz w:val="20"/>
                            </w:rPr>
                            <w:t>1</w:t>
                          </w:r>
                          <w:r>
                            <w:rPr>
                              <w:rFonts w:hint="eastAsia" w:ascii="仿宋" w:hAnsi="仿宋" w:eastAsia="仿宋" w:cs="仿宋"/>
                              <w:b/>
                              <w:spacing w:val="-6"/>
                              <w:sz w:val="20"/>
                            </w:rPr>
                            <w:fldChar w:fldCharType="end"/>
                          </w:r>
                          <w:r>
                            <w:rPr>
                              <w:rFonts w:hint="eastAsia" w:ascii="仿宋" w:hAnsi="仿宋" w:eastAsia="仿宋" w:cs="仿宋"/>
                              <w:b/>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4"/>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 xml:space="preserve">第 </w:t>
                    </w:r>
                    <w:r>
                      <w:rPr>
                        <w:rFonts w:hint="eastAsia" w:ascii="仿宋" w:hAnsi="仿宋" w:eastAsia="仿宋" w:cs="仿宋"/>
                        <w:b/>
                        <w:spacing w:val="-6"/>
                        <w:sz w:val="20"/>
                      </w:rPr>
                      <w:fldChar w:fldCharType="begin"/>
                    </w:r>
                    <w:r>
                      <w:rPr>
                        <w:rFonts w:hint="eastAsia" w:ascii="仿宋" w:hAnsi="仿宋" w:eastAsia="仿宋" w:cs="仿宋"/>
                        <w:b/>
                        <w:spacing w:val="-6"/>
                        <w:sz w:val="20"/>
                      </w:rPr>
                      <w:instrText xml:space="preserve"> PAGE  \* MERGEFORMAT </w:instrText>
                    </w:r>
                    <w:r>
                      <w:rPr>
                        <w:rFonts w:hint="eastAsia" w:ascii="仿宋" w:hAnsi="仿宋" w:eastAsia="仿宋" w:cs="仿宋"/>
                        <w:b/>
                        <w:spacing w:val="-6"/>
                        <w:sz w:val="20"/>
                      </w:rPr>
                      <w:fldChar w:fldCharType="separate"/>
                    </w:r>
                    <w:r>
                      <w:rPr>
                        <w:rFonts w:hint="eastAsia" w:ascii="仿宋" w:hAnsi="仿宋" w:eastAsia="仿宋" w:cs="仿宋"/>
                        <w:b/>
                        <w:spacing w:val="-6"/>
                        <w:sz w:val="20"/>
                      </w:rPr>
                      <w:t>1</w:t>
                    </w:r>
                    <w:r>
                      <w:rPr>
                        <w:rFonts w:hint="eastAsia" w:ascii="仿宋" w:hAnsi="仿宋" w:eastAsia="仿宋" w:cs="仿宋"/>
                        <w:b/>
                        <w:spacing w:val="-6"/>
                        <w:sz w:val="20"/>
                      </w:rPr>
                      <w:fldChar w:fldCharType="end"/>
                    </w:r>
                    <w:r>
                      <w:rPr>
                        <w:rFonts w:hint="eastAsia" w:ascii="仿宋" w:hAnsi="仿宋" w:eastAsia="仿宋" w:cs="仿宋"/>
                        <w:b/>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thickThinSmallGap" w:color="auto" w:sz="12" w:space="0"/>
      </w:pBdr>
      <w:spacing w:line="300" w:lineRule="exact"/>
      <w:rPr>
        <w:rFonts w:hint="eastAsia" w:ascii="仿宋" w:hAnsi="仿宋" w:eastAsia="仿宋" w:cs="仿宋"/>
        <w:b/>
        <w:spacing w:val="-6"/>
        <w:sz w:val="20"/>
        <w:lang w:eastAsia="zh-CN"/>
      </w:rPr>
    </w:pPr>
    <w:r>
      <w:rPr>
        <w:rFonts w:hint="eastAsia" w:ascii="仿宋" w:hAnsi="仿宋" w:eastAsia="仿宋" w:cs="仿宋"/>
        <w:b/>
        <w:spacing w:val="-6"/>
        <w:sz w:val="20"/>
        <w:lang w:eastAsia="zh-CN"/>
      </w:rPr>
      <w:t xml:space="preserve"> 云南师范大学附属世纪金源学校零星修缮项目</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lang w:eastAsia="zh-CN"/>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thickThinSmallGap" w:color="auto" w:sz="12" w:space="0"/>
      </w:pBdr>
      <w:spacing w:line="300" w:lineRule="exact"/>
      <w:rPr>
        <w:rFonts w:hint="eastAsia"/>
        <w:lang w:eastAsia="zh-CN"/>
      </w:rPr>
    </w:pPr>
    <w:r>
      <w:rPr>
        <w:rFonts w:hint="eastAsia" w:ascii="仿宋" w:hAnsi="仿宋" w:eastAsia="仿宋" w:cs="仿宋"/>
        <w:b/>
        <w:spacing w:val="-6"/>
        <w:sz w:val="20"/>
        <w:lang w:eastAsia="zh-CN"/>
      </w:rPr>
      <w:t xml:space="preserve"> 云南师范大学附属世纪金源学校零星修缮项目</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rPr>
      <w:t xml:space="preserve">  </w:t>
    </w:r>
    <w:r>
      <w:rPr>
        <w:rFonts w:hint="eastAsia" w:ascii="仿宋" w:hAnsi="仿宋" w:eastAsia="仿宋" w:cs="仿宋"/>
        <w:b/>
        <w:spacing w:val="-6"/>
        <w:sz w:val="20"/>
        <w:lang w:val="en-US" w:eastAsia="zh-CN"/>
      </w:rPr>
      <w:t xml:space="preserve">                    </w:t>
    </w:r>
    <w:r>
      <w:rPr>
        <w:rFonts w:hint="eastAsia" w:ascii="仿宋" w:hAnsi="仿宋" w:eastAsia="仿宋" w:cs="仿宋"/>
        <w:b/>
        <w:spacing w:val="-6"/>
        <w:sz w:val="20"/>
        <w:lang w:eastAsia="zh-CN"/>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singleLevel"/>
    <w:tmpl w:val="E9CBA0B2"/>
    <w:lvl w:ilvl="0" w:tentative="0">
      <w:start w:val="1"/>
      <w:numFmt w:val="decimal"/>
      <w:lvlText w:val="%1."/>
      <w:lvlJc w:val="left"/>
      <w:pPr>
        <w:tabs>
          <w:tab w:val="left" w:pos="312"/>
        </w:tabs>
      </w:p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6"/>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2"/>
      <w:lvlText w:val="%1"/>
      <w:lvlJc w:val="left"/>
      <w:pPr>
        <w:tabs>
          <w:tab w:val="left" w:pos="360"/>
        </w:tabs>
        <w:ind w:left="284" w:hanging="284"/>
      </w:pPr>
      <w:rPr>
        <w:rFonts w:hint="default" w:ascii="Times New Roman" w:hAnsi="Times New Roman"/>
        <w:b/>
        <w:i w:val="0"/>
        <w:sz w:val="28"/>
      </w:rPr>
    </w:lvl>
    <w:lvl w:ilvl="1" w:tentative="0">
      <w:start w:val="1"/>
      <w:numFmt w:val="decimal"/>
      <w:pStyle w:val="3"/>
      <w:lvlText w:val="%1.%2"/>
      <w:lvlJc w:val="left"/>
      <w:pPr>
        <w:tabs>
          <w:tab w:val="left" w:pos="1021"/>
        </w:tabs>
        <w:ind w:left="1021" w:hanging="596"/>
      </w:pPr>
      <w:rPr>
        <w:rFonts w:hint="default" w:ascii="Times New Roman" w:hAnsi="Times New Roman"/>
        <w:b/>
        <w:i w:val="0"/>
        <w:sz w:val="28"/>
      </w:rPr>
    </w:lvl>
    <w:lvl w:ilvl="2" w:tentative="0">
      <w:start w:val="1"/>
      <w:numFmt w:val="decimal"/>
      <w:pStyle w:val="4"/>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7">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8">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1">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9"/>
  </w:num>
  <w:num w:numId="5">
    <w:abstractNumId w:val="19"/>
  </w:num>
  <w:num w:numId="6">
    <w:abstractNumId w:val="21"/>
  </w:num>
  <w:num w:numId="7">
    <w:abstractNumId w:val="3"/>
  </w:num>
  <w:num w:numId="8">
    <w:abstractNumId w:val="20"/>
  </w:num>
  <w:num w:numId="9">
    <w:abstractNumId w:val="14"/>
  </w:num>
  <w:num w:numId="10">
    <w:abstractNumId w:val="8"/>
  </w:num>
  <w:num w:numId="11">
    <w:abstractNumId w:val="1"/>
  </w:num>
  <w:num w:numId="12">
    <w:abstractNumId w:val="15"/>
  </w:num>
  <w:num w:numId="13">
    <w:abstractNumId w:val="4"/>
  </w:num>
  <w:num w:numId="14">
    <w:abstractNumId w:val="7"/>
  </w:num>
  <w:num w:numId="15">
    <w:abstractNumId w:val="12"/>
  </w:num>
  <w:num w:numId="16">
    <w:abstractNumId w:val="18"/>
  </w:num>
  <w:num w:numId="17">
    <w:abstractNumId w:val="16"/>
  </w:num>
  <w:num w:numId="18">
    <w:abstractNumId w:val="0"/>
  </w:num>
  <w:num w:numId="19">
    <w:abstractNumId w:val="17"/>
  </w:num>
  <w:num w:numId="20">
    <w:abstractNumId w:val="6"/>
  </w:num>
  <w:num w:numId="21">
    <w:abstractNumId w:val="5"/>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lNjYwZDgxNjQwOTFmNmJkZjJiZGFiYWM5YWIxMjkifQ=="/>
  </w:docVars>
  <w:rsids>
    <w:rsidRoot w:val="00172A27"/>
    <w:rsid w:val="001F2CA3"/>
    <w:rsid w:val="00536623"/>
    <w:rsid w:val="005E718E"/>
    <w:rsid w:val="006F0EA3"/>
    <w:rsid w:val="00CB37B2"/>
    <w:rsid w:val="00F32EF3"/>
    <w:rsid w:val="01667731"/>
    <w:rsid w:val="01722330"/>
    <w:rsid w:val="01995B0E"/>
    <w:rsid w:val="01AA3BB2"/>
    <w:rsid w:val="01BA71AD"/>
    <w:rsid w:val="020C008E"/>
    <w:rsid w:val="02564A22"/>
    <w:rsid w:val="026B6B7A"/>
    <w:rsid w:val="027D65B9"/>
    <w:rsid w:val="032B4408"/>
    <w:rsid w:val="036C3448"/>
    <w:rsid w:val="039446EB"/>
    <w:rsid w:val="039D7B38"/>
    <w:rsid w:val="03C86237"/>
    <w:rsid w:val="03EB2406"/>
    <w:rsid w:val="044E7F85"/>
    <w:rsid w:val="04D631EA"/>
    <w:rsid w:val="05033704"/>
    <w:rsid w:val="057D6A8D"/>
    <w:rsid w:val="05A00C76"/>
    <w:rsid w:val="05CA6DB7"/>
    <w:rsid w:val="0604257B"/>
    <w:rsid w:val="06231E4A"/>
    <w:rsid w:val="065A08FC"/>
    <w:rsid w:val="06641DF2"/>
    <w:rsid w:val="06E953A2"/>
    <w:rsid w:val="072440CC"/>
    <w:rsid w:val="07A81018"/>
    <w:rsid w:val="07C37441"/>
    <w:rsid w:val="07F92E63"/>
    <w:rsid w:val="0805549D"/>
    <w:rsid w:val="08085B15"/>
    <w:rsid w:val="0850498D"/>
    <w:rsid w:val="086A1CC5"/>
    <w:rsid w:val="091C51F6"/>
    <w:rsid w:val="099E72E2"/>
    <w:rsid w:val="09D46B2C"/>
    <w:rsid w:val="0A1A3201"/>
    <w:rsid w:val="0A3B38B1"/>
    <w:rsid w:val="0A7A4A3B"/>
    <w:rsid w:val="0A85103E"/>
    <w:rsid w:val="0AA442E9"/>
    <w:rsid w:val="0B422D73"/>
    <w:rsid w:val="0BE77821"/>
    <w:rsid w:val="0BF13075"/>
    <w:rsid w:val="0CD619C5"/>
    <w:rsid w:val="0CEB0F40"/>
    <w:rsid w:val="0D0F2158"/>
    <w:rsid w:val="0D6B3990"/>
    <w:rsid w:val="0D7A67F4"/>
    <w:rsid w:val="0E0017E4"/>
    <w:rsid w:val="0E3A2F25"/>
    <w:rsid w:val="0E7743BD"/>
    <w:rsid w:val="0E8527C0"/>
    <w:rsid w:val="0F8D0A0F"/>
    <w:rsid w:val="0F8D2546"/>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F4E7B"/>
    <w:rsid w:val="169C77DB"/>
    <w:rsid w:val="170A7C4A"/>
    <w:rsid w:val="171F677D"/>
    <w:rsid w:val="17792747"/>
    <w:rsid w:val="17951931"/>
    <w:rsid w:val="17F665A1"/>
    <w:rsid w:val="183316D2"/>
    <w:rsid w:val="185B558F"/>
    <w:rsid w:val="18FA70BF"/>
    <w:rsid w:val="191A70DD"/>
    <w:rsid w:val="193B1647"/>
    <w:rsid w:val="19687E48"/>
    <w:rsid w:val="196A6E29"/>
    <w:rsid w:val="1AE61844"/>
    <w:rsid w:val="1B186553"/>
    <w:rsid w:val="1B2E6D78"/>
    <w:rsid w:val="1BB05AD7"/>
    <w:rsid w:val="1C121A3A"/>
    <w:rsid w:val="1C4B304A"/>
    <w:rsid w:val="1C7A05BE"/>
    <w:rsid w:val="1CA51F06"/>
    <w:rsid w:val="1CB9423F"/>
    <w:rsid w:val="1E032835"/>
    <w:rsid w:val="1E157890"/>
    <w:rsid w:val="1E215213"/>
    <w:rsid w:val="1E3D18A3"/>
    <w:rsid w:val="1E895208"/>
    <w:rsid w:val="1EF830F5"/>
    <w:rsid w:val="1F104EC1"/>
    <w:rsid w:val="1FC71890"/>
    <w:rsid w:val="1FD962D7"/>
    <w:rsid w:val="1FF27D60"/>
    <w:rsid w:val="20000DDB"/>
    <w:rsid w:val="20700642"/>
    <w:rsid w:val="207A350E"/>
    <w:rsid w:val="21182345"/>
    <w:rsid w:val="21751354"/>
    <w:rsid w:val="217F6F09"/>
    <w:rsid w:val="21DF0EC4"/>
    <w:rsid w:val="220566A5"/>
    <w:rsid w:val="2293656D"/>
    <w:rsid w:val="22E06A62"/>
    <w:rsid w:val="22FD3D2D"/>
    <w:rsid w:val="233D3868"/>
    <w:rsid w:val="23843AD1"/>
    <w:rsid w:val="23D87FEC"/>
    <w:rsid w:val="23E94A37"/>
    <w:rsid w:val="240011CC"/>
    <w:rsid w:val="240044B7"/>
    <w:rsid w:val="24125580"/>
    <w:rsid w:val="2441693B"/>
    <w:rsid w:val="24DD02AC"/>
    <w:rsid w:val="24EC51A1"/>
    <w:rsid w:val="25820D4C"/>
    <w:rsid w:val="25D06300"/>
    <w:rsid w:val="260E2CDF"/>
    <w:rsid w:val="26AE4872"/>
    <w:rsid w:val="271547BC"/>
    <w:rsid w:val="273A5696"/>
    <w:rsid w:val="27406218"/>
    <w:rsid w:val="274D7D89"/>
    <w:rsid w:val="280574D0"/>
    <w:rsid w:val="283658D8"/>
    <w:rsid w:val="28CF1C92"/>
    <w:rsid w:val="291D77F8"/>
    <w:rsid w:val="29C0110D"/>
    <w:rsid w:val="2AE80575"/>
    <w:rsid w:val="2AEE7F46"/>
    <w:rsid w:val="2B1A0641"/>
    <w:rsid w:val="2B532195"/>
    <w:rsid w:val="2B701970"/>
    <w:rsid w:val="2BE72E97"/>
    <w:rsid w:val="2C2E1E35"/>
    <w:rsid w:val="2C5A1872"/>
    <w:rsid w:val="2C9F5E1F"/>
    <w:rsid w:val="2CBC3E6A"/>
    <w:rsid w:val="2CE55B3A"/>
    <w:rsid w:val="2D1E6D44"/>
    <w:rsid w:val="2D346567"/>
    <w:rsid w:val="2DC766FE"/>
    <w:rsid w:val="2EAE5778"/>
    <w:rsid w:val="2F103ABB"/>
    <w:rsid w:val="2F17377A"/>
    <w:rsid w:val="2F1B1165"/>
    <w:rsid w:val="2FEE23FB"/>
    <w:rsid w:val="30245485"/>
    <w:rsid w:val="30925604"/>
    <w:rsid w:val="30B83A0A"/>
    <w:rsid w:val="30C01091"/>
    <w:rsid w:val="3135613A"/>
    <w:rsid w:val="3139707D"/>
    <w:rsid w:val="3163566D"/>
    <w:rsid w:val="3292277C"/>
    <w:rsid w:val="32926C9A"/>
    <w:rsid w:val="32A629A8"/>
    <w:rsid w:val="32C739DA"/>
    <w:rsid w:val="33A66B32"/>
    <w:rsid w:val="33FB6F4B"/>
    <w:rsid w:val="33FE4411"/>
    <w:rsid w:val="341D5FA7"/>
    <w:rsid w:val="34B35675"/>
    <w:rsid w:val="352B143C"/>
    <w:rsid w:val="357774A2"/>
    <w:rsid w:val="3648684B"/>
    <w:rsid w:val="364C66D0"/>
    <w:rsid w:val="36982F15"/>
    <w:rsid w:val="376E5128"/>
    <w:rsid w:val="377C6FEF"/>
    <w:rsid w:val="383F1C02"/>
    <w:rsid w:val="38AC4356"/>
    <w:rsid w:val="38CF0459"/>
    <w:rsid w:val="3920101E"/>
    <w:rsid w:val="392A081F"/>
    <w:rsid w:val="3957385F"/>
    <w:rsid w:val="397320CF"/>
    <w:rsid w:val="3A1B797B"/>
    <w:rsid w:val="3AF235BE"/>
    <w:rsid w:val="3B471B5C"/>
    <w:rsid w:val="3B582597"/>
    <w:rsid w:val="3BF037F2"/>
    <w:rsid w:val="3C536B7D"/>
    <w:rsid w:val="3C8A77BA"/>
    <w:rsid w:val="3CFC24D2"/>
    <w:rsid w:val="3D1E1969"/>
    <w:rsid w:val="3D8C44DD"/>
    <w:rsid w:val="3DCB6E3D"/>
    <w:rsid w:val="3E4203B8"/>
    <w:rsid w:val="3E4C416D"/>
    <w:rsid w:val="3EB25675"/>
    <w:rsid w:val="3F8D37FE"/>
    <w:rsid w:val="40444E2A"/>
    <w:rsid w:val="4073644F"/>
    <w:rsid w:val="41235D2C"/>
    <w:rsid w:val="415770C8"/>
    <w:rsid w:val="41595B1E"/>
    <w:rsid w:val="41C34216"/>
    <w:rsid w:val="42185032"/>
    <w:rsid w:val="424D57A6"/>
    <w:rsid w:val="429A5600"/>
    <w:rsid w:val="42F27740"/>
    <w:rsid w:val="430968B2"/>
    <w:rsid w:val="436502E4"/>
    <w:rsid w:val="43B719FB"/>
    <w:rsid w:val="44170B67"/>
    <w:rsid w:val="44976A56"/>
    <w:rsid w:val="44CC04FB"/>
    <w:rsid w:val="453E0C6D"/>
    <w:rsid w:val="45786A0D"/>
    <w:rsid w:val="4586674A"/>
    <w:rsid w:val="45A81449"/>
    <w:rsid w:val="4616188D"/>
    <w:rsid w:val="46612B1C"/>
    <w:rsid w:val="46623CEE"/>
    <w:rsid w:val="46C10028"/>
    <w:rsid w:val="46E14BDC"/>
    <w:rsid w:val="474A2312"/>
    <w:rsid w:val="47570501"/>
    <w:rsid w:val="47FA7C0E"/>
    <w:rsid w:val="48B96CB1"/>
    <w:rsid w:val="497F5619"/>
    <w:rsid w:val="49A76574"/>
    <w:rsid w:val="4A463C50"/>
    <w:rsid w:val="4A9621B8"/>
    <w:rsid w:val="4AC13F7E"/>
    <w:rsid w:val="4B165370"/>
    <w:rsid w:val="4B8C3BDB"/>
    <w:rsid w:val="4BCF57F6"/>
    <w:rsid w:val="4C473B3F"/>
    <w:rsid w:val="4CBE3293"/>
    <w:rsid w:val="4CF141CA"/>
    <w:rsid w:val="4D266D72"/>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CC6DAA"/>
    <w:rsid w:val="50E83613"/>
    <w:rsid w:val="510B2F6E"/>
    <w:rsid w:val="512615DE"/>
    <w:rsid w:val="5129767D"/>
    <w:rsid w:val="515873A1"/>
    <w:rsid w:val="515F3303"/>
    <w:rsid w:val="52133847"/>
    <w:rsid w:val="525772BA"/>
    <w:rsid w:val="52642B9B"/>
    <w:rsid w:val="530E43B4"/>
    <w:rsid w:val="531A4772"/>
    <w:rsid w:val="53DF79A2"/>
    <w:rsid w:val="5438314E"/>
    <w:rsid w:val="54596853"/>
    <w:rsid w:val="54D475D7"/>
    <w:rsid w:val="553629AF"/>
    <w:rsid w:val="55975A46"/>
    <w:rsid w:val="55B61960"/>
    <w:rsid w:val="55B9733A"/>
    <w:rsid w:val="564C5B20"/>
    <w:rsid w:val="56A53D97"/>
    <w:rsid w:val="56F40992"/>
    <w:rsid w:val="570D09E8"/>
    <w:rsid w:val="570D2B79"/>
    <w:rsid w:val="57613663"/>
    <w:rsid w:val="57F66683"/>
    <w:rsid w:val="58021BEA"/>
    <w:rsid w:val="585216B5"/>
    <w:rsid w:val="58AA4377"/>
    <w:rsid w:val="58D42806"/>
    <w:rsid w:val="59305585"/>
    <w:rsid w:val="595E7EB9"/>
    <w:rsid w:val="59705E43"/>
    <w:rsid w:val="5988712F"/>
    <w:rsid w:val="59D86790"/>
    <w:rsid w:val="5A1B2694"/>
    <w:rsid w:val="5A3D49F6"/>
    <w:rsid w:val="5A4A504A"/>
    <w:rsid w:val="5A920D26"/>
    <w:rsid w:val="5AC02CF9"/>
    <w:rsid w:val="5B1C4013"/>
    <w:rsid w:val="5B490B80"/>
    <w:rsid w:val="5BBC63D7"/>
    <w:rsid w:val="5BCF022B"/>
    <w:rsid w:val="5C3215B6"/>
    <w:rsid w:val="5C663199"/>
    <w:rsid w:val="5CB24B00"/>
    <w:rsid w:val="5CDC7453"/>
    <w:rsid w:val="5CE943C9"/>
    <w:rsid w:val="5CEA1240"/>
    <w:rsid w:val="5D3A4C25"/>
    <w:rsid w:val="5D6F5686"/>
    <w:rsid w:val="5D792E01"/>
    <w:rsid w:val="5DA1540D"/>
    <w:rsid w:val="5DA75EED"/>
    <w:rsid w:val="5E051532"/>
    <w:rsid w:val="5E693A13"/>
    <w:rsid w:val="5F096593"/>
    <w:rsid w:val="5F267161"/>
    <w:rsid w:val="6040385F"/>
    <w:rsid w:val="60732315"/>
    <w:rsid w:val="61053EB8"/>
    <w:rsid w:val="617E62B6"/>
    <w:rsid w:val="618741B1"/>
    <w:rsid w:val="619175C9"/>
    <w:rsid w:val="61CC7BD3"/>
    <w:rsid w:val="62512A6C"/>
    <w:rsid w:val="62D91FC0"/>
    <w:rsid w:val="62EE79FF"/>
    <w:rsid w:val="6350601E"/>
    <w:rsid w:val="636543C8"/>
    <w:rsid w:val="636E4515"/>
    <w:rsid w:val="63D32188"/>
    <w:rsid w:val="6421068E"/>
    <w:rsid w:val="643B5F4F"/>
    <w:rsid w:val="647C3B54"/>
    <w:rsid w:val="64AF5E31"/>
    <w:rsid w:val="65507CD9"/>
    <w:rsid w:val="65530F79"/>
    <w:rsid w:val="670D6F06"/>
    <w:rsid w:val="67702A4F"/>
    <w:rsid w:val="679A2D3F"/>
    <w:rsid w:val="67AE06E9"/>
    <w:rsid w:val="68A1788C"/>
    <w:rsid w:val="68F14D31"/>
    <w:rsid w:val="68F70355"/>
    <w:rsid w:val="699E556C"/>
    <w:rsid w:val="6A707ABA"/>
    <w:rsid w:val="6AA23D62"/>
    <w:rsid w:val="6ACD5FF0"/>
    <w:rsid w:val="6B364629"/>
    <w:rsid w:val="6B3D425E"/>
    <w:rsid w:val="6B492045"/>
    <w:rsid w:val="6B4C08CF"/>
    <w:rsid w:val="6B6858DA"/>
    <w:rsid w:val="6B8C6548"/>
    <w:rsid w:val="6C587AD2"/>
    <w:rsid w:val="6D0B1F10"/>
    <w:rsid w:val="6D48654E"/>
    <w:rsid w:val="6DCB03D5"/>
    <w:rsid w:val="6DCD73EF"/>
    <w:rsid w:val="6E6F0E86"/>
    <w:rsid w:val="6E8C245B"/>
    <w:rsid w:val="6E944978"/>
    <w:rsid w:val="6EE232AF"/>
    <w:rsid w:val="6F517E7D"/>
    <w:rsid w:val="6F694EBD"/>
    <w:rsid w:val="6FAC33A0"/>
    <w:rsid w:val="6FED6386"/>
    <w:rsid w:val="70061FE5"/>
    <w:rsid w:val="701A2DBF"/>
    <w:rsid w:val="7057154D"/>
    <w:rsid w:val="71386DC0"/>
    <w:rsid w:val="71520337"/>
    <w:rsid w:val="715B5814"/>
    <w:rsid w:val="715E705F"/>
    <w:rsid w:val="718069D9"/>
    <w:rsid w:val="71C8684B"/>
    <w:rsid w:val="71E116BB"/>
    <w:rsid w:val="72490C82"/>
    <w:rsid w:val="72531664"/>
    <w:rsid w:val="72C628DB"/>
    <w:rsid w:val="731D109A"/>
    <w:rsid w:val="732835E6"/>
    <w:rsid w:val="73865C9E"/>
    <w:rsid w:val="73CB2FE8"/>
    <w:rsid w:val="73EE3117"/>
    <w:rsid w:val="74136F1C"/>
    <w:rsid w:val="743B32DF"/>
    <w:rsid w:val="7452328D"/>
    <w:rsid w:val="74572B77"/>
    <w:rsid w:val="74655073"/>
    <w:rsid w:val="74B055E6"/>
    <w:rsid w:val="74EE1D0A"/>
    <w:rsid w:val="7551433A"/>
    <w:rsid w:val="760404D5"/>
    <w:rsid w:val="76E942BE"/>
    <w:rsid w:val="771F4C58"/>
    <w:rsid w:val="77256A83"/>
    <w:rsid w:val="775546DD"/>
    <w:rsid w:val="776958B0"/>
    <w:rsid w:val="77771F99"/>
    <w:rsid w:val="77E31CE9"/>
    <w:rsid w:val="77FC22F4"/>
    <w:rsid w:val="784136B1"/>
    <w:rsid w:val="788E24B4"/>
    <w:rsid w:val="789E3E62"/>
    <w:rsid w:val="792B7DEB"/>
    <w:rsid w:val="7968098F"/>
    <w:rsid w:val="797E20AF"/>
    <w:rsid w:val="79865F2F"/>
    <w:rsid w:val="79980124"/>
    <w:rsid w:val="79AC1322"/>
    <w:rsid w:val="79B6113C"/>
    <w:rsid w:val="7A240BE7"/>
    <w:rsid w:val="7A3754BE"/>
    <w:rsid w:val="7A3B3819"/>
    <w:rsid w:val="7A421C40"/>
    <w:rsid w:val="7A6B1E4D"/>
    <w:rsid w:val="7A9554CF"/>
    <w:rsid w:val="7AF83CFD"/>
    <w:rsid w:val="7B04234E"/>
    <w:rsid w:val="7B1C3CCF"/>
    <w:rsid w:val="7C5A4C10"/>
    <w:rsid w:val="7C693F22"/>
    <w:rsid w:val="7C6C5EE5"/>
    <w:rsid w:val="7D981A3D"/>
    <w:rsid w:val="7EDA4F10"/>
    <w:rsid w:val="7F0D3AEF"/>
    <w:rsid w:val="7F1F47DE"/>
    <w:rsid w:val="7F486550"/>
    <w:rsid w:val="7FE31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11"/>
    <w:qFormat/>
    <w:uiPriority w:val="0"/>
    <w:pPr>
      <w:keepNext/>
      <w:numPr>
        <w:ilvl w:val="0"/>
        <w:numId w:val="1"/>
      </w:numPr>
      <w:autoSpaceDE w:val="0"/>
      <w:autoSpaceDN w:val="0"/>
      <w:adjustRightInd w:val="0"/>
      <w:jc w:val="left"/>
      <w:outlineLvl w:val="0"/>
    </w:pPr>
    <w:rPr>
      <w:rFonts w:ascii="仿宋_GB2312" w:eastAsia="仿宋_GB2312"/>
      <w:b/>
      <w:bCs/>
      <w:color w:val="000000"/>
      <w:kern w:val="0"/>
      <w:sz w:val="28"/>
      <w:szCs w:val="20"/>
    </w:rPr>
  </w:style>
  <w:style w:type="paragraph" w:styleId="3">
    <w:name w:val="heading 2"/>
    <w:basedOn w:val="1"/>
    <w:next w:val="1"/>
    <w:link w:val="113"/>
    <w:qFormat/>
    <w:uiPriority w:val="0"/>
    <w:pPr>
      <w:keepNext/>
      <w:keepLines/>
      <w:numPr>
        <w:ilvl w:val="1"/>
        <w:numId w:val="1"/>
      </w:numPr>
      <w:spacing w:before="120" w:after="120" w:line="360" w:lineRule="auto"/>
      <w:jc w:val="center"/>
      <w:outlineLvl w:val="1"/>
    </w:pPr>
    <w:rPr>
      <w:rFonts w:ascii="Arial" w:hAnsi="Arial"/>
      <w:b/>
      <w:bCs/>
      <w:sz w:val="28"/>
      <w:szCs w:val="32"/>
    </w:rPr>
  </w:style>
  <w:style w:type="paragraph" w:styleId="4">
    <w:name w:val="heading 3"/>
    <w:basedOn w:val="1"/>
    <w:next w:val="1"/>
    <w:qFormat/>
    <w:uiPriority w:val="0"/>
    <w:pPr>
      <w:keepNext/>
      <w:keepLines/>
      <w:numPr>
        <w:ilvl w:val="2"/>
        <w:numId w:val="1"/>
      </w:numPr>
      <w:spacing w:before="120" w:after="120" w:line="360" w:lineRule="auto"/>
      <w:jc w:val="center"/>
      <w:outlineLvl w:val="2"/>
    </w:pPr>
    <w:rPr>
      <w:rFonts w:ascii="宋体"/>
      <w:b/>
      <w:bCs/>
      <w:sz w:val="24"/>
      <w:szCs w:val="32"/>
    </w:rPr>
  </w:style>
  <w:style w:type="paragraph" w:styleId="5">
    <w:name w:val="heading 4"/>
    <w:basedOn w:val="1"/>
    <w:next w:val="1"/>
    <w:qFormat/>
    <w:uiPriority w:val="0"/>
    <w:pPr>
      <w:keepNext/>
      <w:keepLines/>
      <w:spacing w:line="360" w:lineRule="auto"/>
      <w:outlineLvl w:val="3"/>
    </w:pPr>
    <w:rPr>
      <w:rFonts w:ascii="Arial" w:hAnsi="Arial"/>
      <w:b/>
    </w:rPr>
  </w:style>
  <w:style w:type="paragraph" w:styleId="6">
    <w:name w:val="heading 5"/>
    <w:basedOn w:val="1"/>
    <w:next w:val="1"/>
    <w:qFormat/>
    <w:uiPriority w:val="0"/>
    <w:pPr>
      <w:keepNext/>
      <w:keepLines/>
      <w:numPr>
        <w:ilvl w:val="4"/>
        <w:numId w:val="2"/>
      </w:numPr>
      <w:adjustRightInd w:val="0"/>
      <w:spacing w:before="280" w:after="290" w:line="376" w:lineRule="atLeast"/>
      <w:textAlignment w:val="baseline"/>
      <w:outlineLvl w:val="4"/>
    </w:pPr>
    <w:rPr>
      <w:b/>
      <w:kern w:val="0"/>
      <w:sz w:val="28"/>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qFormat/>
    <w:uiPriority w:val="0"/>
    <w:pPr>
      <w:ind w:left="1200" w:leftChars="1200"/>
    </w:pPr>
  </w:style>
  <w:style w:type="paragraph" w:styleId="8">
    <w:name w:val="Normal Indent"/>
    <w:basedOn w:val="1"/>
    <w:next w:val="1"/>
    <w:qFormat/>
    <w:uiPriority w:val="0"/>
    <w:pPr>
      <w:tabs>
        <w:tab w:val="left" w:pos="750"/>
      </w:tabs>
      <w:spacing w:beforeLines="50" w:line="300" w:lineRule="auto"/>
      <w:ind w:firstLine="200" w:firstLineChars="200"/>
    </w:pPr>
    <w:rPr>
      <w:rFonts w:ascii="宋体"/>
      <w:szCs w:val="20"/>
    </w:rPr>
  </w:style>
  <w:style w:type="paragraph" w:styleId="9">
    <w:name w:val="caption"/>
    <w:basedOn w:val="1"/>
    <w:next w:val="1"/>
    <w:qFormat/>
    <w:uiPriority w:val="0"/>
    <w:pPr>
      <w:spacing w:before="120" w:after="120" w:line="340" w:lineRule="exact"/>
      <w:jc w:val="center"/>
    </w:pPr>
    <w:rPr>
      <w:b/>
      <w:sz w:val="18"/>
      <w:szCs w:val="20"/>
    </w:rPr>
  </w:style>
  <w:style w:type="paragraph" w:styleId="10">
    <w:name w:val="Document Map"/>
    <w:basedOn w:val="1"/>
    <w:qFormat/>
    <w:uiPriority w:val="0"/>
    <w:pPr>
      <w:shd w:val="clear" w:color="auto" w:fill="000080"/>
    </w:pPr>
  </w:style>
  <w:style w:type="paragraph" w:styleId="11">
    <w:name w:val="toa heading"/>
    <w:basedOn w:val="1"/>
    <w:next w:val="1"/>
    <w:semiHidden/>
    <w:qFormat/>
    <w:uiPriority w:val="0"/>
    <w:pPr>
      <w:spacing w:before="120"/>
    </w:pPr>
    <w:rPr>
      <w:rFonts w:ascii="Arial" w:hAnsi="Arial" w:cs="Arial"/>
      <w:sz w:val="24"/>
    </w:rPr>
  </w:style>
  <w:style w:type="paragraph" w:styleId="12">
    <w:name w:val="annotation text"/>
    <w:basedOn w:val="1"/>
    <w:link w:val="109"/>
    <w:qFormat/>
    <w:uiPriority w:val="0"/>
    <w:pPr>
      <w:jc w:val="left"/>
    </w:pPr>
  </w:style>
  <w:style w:type="paragraph" w:styleId="13">
    <w:name w:val="Body Text"/>
    <w:basedOn w:val="1"/>
    <w:next w:val="14"/>
    <w:qFormat/>
    <w:uiPriority w:val="0"/>
    <w:pPr>
      <w:spacing w:after="120"/>
    </w:pPr>
  </w:style>
  <w:style w:type="paragraph" w:styleId="14">
    <w:name w:val="Subtitle"/>
    <w:basedOn w:val="1"/>
    <w:next w:val="1"/>
    <w:qFormat/>
    <w:uiPriority w:val="11"/>
    <w:pPr>
      <w:spacing w:before="240" w:after="60" w:line="312" w:lineRule="auto"/>
      <w:jc w:val="center"/>
      <w:outlineLvl w:val="1"/>
    </w:pPr>
    <w:rPr>
      <w:rFonts w:ascii="Cambria" w:hAnsi="Cambria"/>
      <w:b/>
      <w:bCs/>
      <w:kern w:val="28"/>
      <w:sz w:val="32"/>
      <w:szCs w:val="32"/>
    </w:rPr>
  </w:style>
  <w:style w:type="paragraph" w:styleId="15">
    <w:name w:val="Body Text Indent"/>
    <w:basedOn w:val="1"/>
    <w:next w:val="16"/>
    <w:qFormat/>
    <w:uiPriority w:val="0"/>
    <w:pPr>
      <w:ind w:firstLine="200" w:firstLineChars="200"/>
      <w:jc w:val="left"/>
    </w:pPr>
    <w:rPr>
      <w:rFonts w:ascii="仿宋_GB2312" w:eastAsia="仿宋_GB2312"/>
      <w:sz w:val="28"/>
    </w:rPr>
  </w:style>
  <w:style w:type="paragraph" w:styleId="16">
    <w:name w:val="Body Text First Indent 2"/>
    <w:basedOn w:val="15"/>
    <w:qFormat/>
    <w:uiPriority w:val="0"/>
    <w:pPr>
      <w:spacing w:after="120"/>
      <w:ind w:left="420" w:leftChars="200" w:firstLine="420"/>
    </w:pPr>
    <w:rPr>
      <w:color w:val="000000"/>
      <w:kern w:val="0"/>
      <w:sz w:val="24"/>
    </w:rPr>
  </w:style>
  <w:style w:type="paragraph" w:styleId="17">
    <w:name w:val="toc 5"/>
    <w:basedOn w:val="1"/>
    <w:next w:val="1"/>
    <w:qFormat/>
    <w:uiPriority w:val="0"/>
    <w:pPr>
      <w:ind w:left="800" w:leftChars="800"/>
    </w:pPr>
  </w:style>
  <w:style w:type="paragraph" w:styleId="18">
    <w:name w:val="toc 3"/>
    <w:basedOn w:val="1"/>
    <w:next w:val="1"/>
    <w:qFormat/>
    <w:uiPriority w:val="39"/>
    <w:pPr>
      <w:tabs>
        <w:tab w:val="right" w:leader="dot" w:pos="9515"/>
      </w:tabs>
      <w:ind w:left="400" w:leftChars="400"/>
    </w:pPr>
  </w:style>
  <w:style w:type="paragraph" w:styleId="19">
    <w:name w:val="Plain Text"/>
    <w:basedOn w:val="1"/>
    <w:next w:val="1"/>
    <w:link w:val="117"/>
    <w:qFormat/>
    <w:uiPriority w:val="0"/>
    <w:pPr>
      <w:autoSpaceDE w:val="0"/>
      <w:autoSpaceDN w:val="0"/>
      <w:adjustRightInd w:val="0"/>
      <w:jc w:val="left"/>
    </w:pPr>
    <w:rPr>
      <w:rFonts w:ascii="宋体"/>
      <w:kern w:val="0"/>
      <w:sz w:val="20"/>
    </w:rPr>
  </w:style>
  <w:style w:type="paragraph" w:styleId="20">
    <w:name w:val="toc 8"/>
    <w:basedOn w:val="1"/>
    <w:next w:val="1"/>
    <w:qFormat/>
    <w:uiPriority w:val="0"/>
    <w:pPr>
      <w:ind w:left="1400" w:leftChars="1400"/>
    </w:pPr>
  </w:style>
  <w:style w:type="paragraph" w:styleId="21">
    <w:name w:val="Date"/>
    <w:basedOn w:val="1"/>
    <w:next w:val="1"/>
    <w:qFormat/>
    <w:uiPriority w:val="0"/>
    <w:pPr>
      <w:ind w:left="2500" w:leftChars="2500"/>
    </w:pPr>
    <w:rPr>
      <w:rFonts w:ascii="仿宋_GB2312" w:eastAsia="仿宋_GB2312"/>
      <w:sz w:val="28"/>
    </w:rPr>
  </w:style>
  <w:style w:type="paragraph" w:styleId="22">
    <w:name w:val="Body Text Indent 2"/>
    <w:basedOn w:val="1"/>
    <w:qFormat/>
    <w:uiPriority w:val="0"/>
    <w:pPr>
      <w:spacing w:line="60" w:lineRule="auto"/>
      <w:ind w:firstLine="128" w:firstLineChars="128"/>
    </w:pPr>
    <w:rPr>
      <w:rFonts w:ascii="仿宋_GB2312" w:eastAsia="仿宋_GB2312"/>
      <w:sz w:val="28"/>
    </w:rPr>
  </w:style>
  <w:style w:type="paragraph" w:styleId="23">
    <w:name w:val="Balloon Text"/>
    <w:basedOn w:val="1"/>
    <w:qFormat/>
    <w:uiPriority w:val="0"/>
    <w:rPr>
      <w:sz w:val="18"/>
      <w:szCs w:val="18"/>
    </w:rPr>
  </w:style>
  <w:style w:type="paragraph" w:styleId="24">
    <w:name w:val="footer"/>
    <w:basedOn w:val="1"/>
    <w:link w:val="116"/>
    <w:qFormat/>
    <w:uiPriority w:val="0"/>
    <w:pPr>
      <w:tabs>
        <w:tab w:val="center" w:pos="4153"/>
        <w:tab w:val="right" w:pos="8306"/>
      </w:tabs>
      <w:adjustRightInd w:val="0"/>
      <w:spacing w:line="240" w:lineRule="atLeast"/>
      <w:jc w:val="left"/>
      <w:textAlignment w:val="baseline"/>
    </w:pPr>
    <w:rPr>
      <w:kern w:val="0"/>
      <w:sz w:val="18"/>
      <w:szCs w:val="20"/>
    </w:rPr>
  </w:style>
  <w:style w:type="paragraph" w:styleId="25">
    <w:name w:val="header"/>
    <w:basedOn w:val="1"/>
    <w:link w:val="112"/>
    <w:qFormat/>
    <w:uiPriority w:val="99"/>
    <w:pPr>
      <w:pBdr>
        <w:bottom w:val="single" w:color="auto" w:sz="6" w:space="1"/>
      </w:pBdr>
      <w:tabs>
        <w:tab w:val="center" w:pos="4153"/>
        <w:tab w:val="right" w:pos="8306"/>
      </w:tabs>
      <w:adjustRightInd w:val="0"/>
      <w:spacing w:line="240" w:lineRule="atLeast"/>
      <w:jc w:val="center"/>
      <w:textAlignment w:val="baseline"/>
    </w:pPr>
    <w:rPr>
      <w:kern w:val="0"/>
      <w:sz w:val="18"/>
      <w:szCs w:val="20"/>
    </w:rPr>
  </w:style>
  <w:style w:type="paragraph" w:styleId="26">
    <w:name w:val="toc 1"/>
    <w:basedOn w:val="1"/>
    <w:next w:val="1"/>
    <w:qFormat/>
    <w:uiPriority w:val="39"/>
  </w:style>
  <w:style w:type="paragraph" w:styleId="27">
    <w:name w:val="toc 4"/>
    <w:basedOn w:val="1"/>
    <w:next w:val="1"/>
    <w:qFormat/>
    <w:uiPriority w:val="0"/>
    <w:pPr>
      <w:ind w:left="600" w:leftChars="600"/>
    </w:pPr>
  </w:style>
  <w:style w:type="paragraph" w:styleId="28">
    <w:name w:val="toc 6"/>
    <w:basedOn w:val="1"/>
    <w:next w:val="1"/>
    <w:qFormat/>
    <w:uiPriority w:val="0"/>
    <w:pPr>
      <w:ind w:left="1000" w:leftChars="1000"/>
    </w:pPr>
  </w:style>
  <w:style w:type="paragraph" w:styleId="29">
    <w:name w:val="Body Text Indent 3"/>
    <w:basedOn w:val="1"/>
    <w:qFormat/>
    <w:uiPriority w:val="0"/>
    <w:pPr>
      <w:spacing w:line="360" w:lineRule="auto"/>
      <w:ind w:firstLine="192" w:firstLineChars="192"/>
    </w:pPr>
    <w:rPr>
      <w:rFonts w:ascii="仿宋_GB2312" w:eastAsia="仿宋_GB2312"/>
      <w:color w:val="3366FF"/>
      <w:sz w:val="24"/>
    </w:rPr>
  </w:style>
  <w:style w:type="paragraph" w:styleId="30">
    <w:name w:val="toc 2"/>
    <w:basedOn w:val="1"/>
    <w:next w:val="1"/>
    <w:qFormat/>
    <w:uiPriority w:val="39"/>
    <w:pPr>
      <w:ind w:left="60" w:firstLine="300"/>
    </w:pPr>
  </w:style>
  <w:style w:type="paragraph" w:styleId="31">
    <w:name w:val="toc 9"/>
    <w:basedOn w:val="1"/>
    <w:next w:val="1"/>
    <w:qFormat/>
    <w:uiPriority w:val="0"/>
    <w:pPr>
      <w:ind w:left="1600" w:leftChars="1600"/>
    </w:pPr>
  </w:style>
  <w:style w:type="paragraph" w:styleId="32">
    <w:name w:val="Body Text 2"/>
    <w:basedOn w:val="1"/>
    <w:qFormat/>
    <w:uiPriority w:val="0"/>
    <w:rPr>
      <w:rFonts w:ascii="宋体"/>
      <w:sz w:val="13"/>
      <w:szCs w:val="20"/>
    </w:rPr>
  </w:style>
  <w:style w:type="paragraph" w:styleId="33">
    <w:name w:val="Normal (Web)"/>
    <w:basedOn w:val="1"/>
    <w:qFormat/>
    <w:uiPriority w:val="0"/>
    <w:pPr>
      <w:spacing w:before="100" w:beforeAutospacing="1" w:after="100" w:afterAutospacing="1"/>
      <w:jc w:val="left"/>
    </w:pPr>
    <w:rPr>
      <w:kern w:val="0"/>
      <w:sz w:val="24"/>
    </w:rPr>
  </w:style>
  <w:style w:type="paragraph" w:styleId="34">
    <w:name w:val="Title"/>
    <w:basedOn w:val="1"/>
    <w:next w:val="1"/>
    <w:qFormat/>
    <w:uiPriority w:val="0"/>
    <w:pPr>
      <w:adjustRightInd w:val="0"/>
      <w:spacing w:line="360" w:lineRule="atLeast"/>
      <w:jc w:val="center"/>
      <w:textAlignment w:val="baseline"/>
      <w:outlineLvl w:val="0"/>
    </w:pPr>
    <w:rPr>
      <w:rFonts w:ascii="Arial" w:hAnsi="Arial" w:cs="Arial"/>
      <w:b/>
      <w:bCs/>
      <w:kern w:val="0"/>
      <w:sz w:val="32"/>
      <w:szCs w:val="32"/>
    </w:rPr>
  </w:style>
  <w:style w:type="paragraph" w:styleId="35">
    <w:name w:val="annotation subject"/>
    <w:basedOn w:val="12"/>
    <w:next w:val="12"/>
    <w:link w:val="114"/>
    <w:qFormat/>
    <w:uiPriority w:val="0"/>
    <w:rPr>
      <w:b/>
      <w:bCs/>
    </w:rPr>
  </w:style>
  <w:style w:type="paragraph" w:styleId="36">
    <w:name w:val="Body Text First Indent"/>
    <w:basedOn w:val="13"/>
    <w:qFormat/>
    <w:uiPriority w:val="0"/>
    <w:pPr>
      <w:tabs>
        <w:tab w:val="center" w:pos="2185"/>
      </w:tabs>
      <w:spacing w:beforeLines="50" w:after="0" w:line="300" w:lineRule="auto"/>
      <w:ind w:firstLine="200" w:firstLineChars="200"/>
    </w:pPr>
    <w:rPr>
      <w:rFonts w:ascii="楷体_GB2312" w:eastAsia="楷体_GB2312"/>
      <w:spacing w:val="4"/>
      <w:szCs w:val="20"/>
    </w:rPr>
  </w:style>
  <w:style w:type="table" w:styleId="38">
    <w:name w:val="Table Grid"/>
    <w:basedOn w:val="3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basedOn w:val="39"/>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qFormat/>
    <w:uiPriority w:val="0"/>
    <w:rPr>
      <w:sz w:val="21"/>
      <w:szCs w:val="21"/>
    </w:rPr>
  </w:style>
  <w:style w:type="paragraph" w:customStyle="1" w:styleId="44">
    <w:name w:val="目录 51"/>
    <w:basedOn w:val="1"/>
    <w:next w:val="1"/>
    <w:qFormat/>
    <w:uiPriority w:val="39"/>
    <w:pPr>
      <w:ind w:left="840"/>
      <w:jc w:val="left"/>
    </w:pPr>
  </w:style>
  <w:style w:type="paragraph" w:customStyle="1" w:styleId="45">
    <w:name w:val="Default"/>
    <w:basedOn w:val="34"/>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6">
    <w:name w:val="_Style 39"/>
    <w:basedOn w:val="2"/>
    <w:next w:val="1"/>
    <w:qFormat/>
    <w:uiPriority w:val="0"/>
    <w:pPr>
      <w:keepLines/>
      <w:widowControl/>
      <w:numPr>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48">
    <w:name w:val="无间隔1"/>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kern w:val="0"/>
      <w:sz w:val="20"/>
      <w:szCs w:val="20"/>
    </w:rPr>
  </w:style>
  <w:style w:type="paragraph" w:customStyle="1" w:styleId="50">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51">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qFormat/>
    <w:uiPriority w:val="0"/>
    <w:pPr>
      <w:widowControl/>
      <w:pBdr>
        <w:bottom w:val="single" w:color="auto" w:sz="8" w:space="0"/>
      </w:pBdr>
      <w:spacing w:before="100" w:beforeAutospacing="1" w:after="100" w:afterAutospacing="1"/>
      <w:textAlignment w:val="top"/>
    </w:pPr>
    <w:rPr>
      <w:rFonts w:ascii="仿宋_GB2312" w:eastAsia="仿宋_GB2312"/>
      <w:kern w:val="0"/>
      <w:sz w:val="24"/>
    </w:rPr>
  </w:style>
  <w:style w:type="paragraph" w:customStyle="1" w:styleId="53">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textAlignment w:val="center"/>
    </w:pPr>
    <w:rPr>
      <w:kern w:val="0"/>
      <w:sz w:val="20"/>
      <w:szCs w:val="20"/>
    </w:rPr>
  </w:style>
  <w:style w:type="paragraph" w:customStyle="1" w:styleId="54">
    <w:name w:val="xl24"/>
    <w:basedOn w:val="1"/>
    <w:qFormat/>
    <w:uiPriority w:val="0"/>
    <w:pPr>
      <w:widowControl/>
      <w:pBdr>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55">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57">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58">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59">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60">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qFormat/>
    <w:uiPriority w:val="0"/>
    <w:pPr>
      <w:ind w:firstLine="420" w:firstLineChars="200"/>
    </w:pPr>
    <w:rPr>
      <w:rFonts w:ascii="Calibri" w:hAnsi="Calibri"/>
      <w:szCs w:val="22"/>
    </w:rPr>
  </w:style>
  <w:style w:type="paragraph" w:customStyle="1" w:styleId="62">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kern w:val="0"/>
      <w:sz w:val="20"/>
      <w:szCs w:val="20"/>
    </w:rPr>
  </w:style>
  <w:style w:type="paragraph" w:customStyle="1" w:styleId="63">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textAlignment w:val="center"/>
    </w:pPr>
    <w:rPr>
      <w:rFonts w:ascii="仿宋_GB2312" w:eastAsia="仿宋_GB2312"/>
      <w:b/>
      <w:bCs/>
      <w:kern w:val="0"/>
      <w:sz w:val="24"/>
    </w:rPr>
  </w:style>
  <w:style w:type="paragraph" w:customStyle="1" w:styleId="64">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textAlignment w:val="center"/>
    </w:pPr>
    <w:rPr>
      <w:kern w:val="0"/>
      <w:sz w:val="20"/>
      <w:szCs w:val="20"/>
    </w:rPr>
  </w:style>
  <w:style w:type="paragraph" w:customStyle="1" w:styleId="66">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textAlignment w:val="center"/>
    </w:pPr>
    <w:rPr>
      <w:rFonts w:ascii="宋体"/>
      <w:kern w:val="0"/>
      <w:sz w:val="20"/>
      <w:szCs w:val="20"/>
    </w:rPr>
  </w:style>
  <w:style w:type="paragraph" w:customStyle="1" w:styleId="67">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8">
    <w:name w:val="xl23"/>
    <w:next w:val="69"/>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textAlignment w:val="center"/>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textAlignment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textAlignment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next w:val="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textAlignment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textAlignment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textAlignment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textAlignment w:val="top"/>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textAlignment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textAlignment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textAlignment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kern w:val="0"/>
      <w:sz w:val="20"/>
      <w:szCs w:val="20"/>
    </w:rPr>
  </w:style>
  <w:style w:type="character" w:customStyle="1" w:styleId="109">
    <w:name w:val="批注文字 字符"/>
    <w:link w:val="12"/>
    <w:qFormat/>
    <w:uiPriority w:val="0"/>
    <w:rPr>
      <w:kern w:val="2"/>
      <w:sz w:val="21"/>
      <w:szCs w:val="24"/>
    </w:rPr>
  </w:style>
  <w:style w:type="character" w:customStyle="1" w:styleId="110">
    <w:name w:val="grame"/>
    <w:basedOn w:val="39"/>
    <w:qFormat/>
    <w:uiPriority w:val="0"/>
  </w:style>
  <w:style w:type="character" w:customStyle="1" w:styleId="111">
    <w:name w:val="标题 1 字符"/>
    <w:link w:val="2"/>
    <w:qFormat/>
    <w:uiPriority w:val="0"/>
    <w:rPr>
      <w:rFonts w:ascii="仿宋_GB2312" w:eastAsia="仿宋_GB2312"/>
      <w:b/>
      <w:bCs/>
      <w:color w:val="000000"/>
      <w:kern w:val="0"/>
      <w:sz w:val="28"/>
      <w:szCs w:val="20"/>
    </w:rPr>
  </w:style>
  <w:style w:type="character" w:customStyle="1" w:styleId="112">
    <w:name w:val="页眉 字符"/>
    <w:link w:val="25"/>
    <w:qFormat/>
    <w:uiPriority w:val="99"/>
    <w:rPr>
      <w:sz w:val="18"/>
    </w:rPr>
  </w:style>
  <w:style w:type="character" w:customStyle="1" w:styleId="113">
    <w:name w:val="标题 2 字符"/>
    <w:link w:val="3"/>
    <w:qFormat/>
    <w:uiPriority w:val="0"/>
    <w:rPr>
      <w:rFonts w:ascii="Arial" w:hAnsi="Arial"/>
      <w:b/>
      <w:bCs/>
      <w:kern w:val="2"/>
      <w:sz w:val="28"/>
      <w:szCs w:val="32"/>
    </w:rPr>
  </w:style>
  <w:style w:type="character" w:customStyle="1" w:styleId="114">
    <w:name w:val="批注主题 字符"/>
    <w:link w:val="35"/>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字符"/>
    <w:link w:val="24"/>
    <w:qFormat/>
    <w:uiPriority w:val="0"/>
    <w:rPr>
      <w:rFonts w:eastAsia="宋体"/>
      <w:sz w:val="18"/>
      <w:lang w:bidi="ar-SA"/>
    </w:rPr>
  </w:style>
  <w:style w:type="character" w:customStyle="1" w:styleId="117">
    <w:name w:val="纯文本 字符"/>
    <w:link w:val="19"/>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hidden/>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textAlignment w:val="baseline"/>
    </w:pPr>
    <w:rPr>
      <w:rFonts w:ascii="Arial" w:hAnsi="Arial" w:eastAsia="仿宋"/>
      <w:sz w:val="24"/>
    </w:rPr>
  </w:style>
  <w:style w:type="paragraph" w:customStyle="1" w:styleId="123">
    <w:name w:val="正文1"/>
    <w:qFormat/>
    <w:uiPriority w:val="0"/>
    <w:pPr>
      <w:spacing w:line="360" w:lineRule="auto"/>
      <w:textAlignment w:val="baseline"/>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next w:val="1"/>
    <w:qFormat/>
    <w:uiPriority w:val="0"/>
    <w:pPr>
      <w:widowControl/>
      <w:spacing w:line="360" w:lineRule="auto"/>
      <w:ind w:left="840" w:leftChars="400" w:firstLine="200" w:firstLineChars="200"/>
      <w:jc w:val="left"/>
      <w:textAlignment w:val="baseline"/>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eastAsia" w:ascii="等线" w:hAnsi="等线" w:eastAsia="等线" w:cs="Times New Roman"/>
      <w:kern w:val="2"/>
      <w:sz w:val="21"/>
      <w:szCs w:val="22"/>
      <w:lang w:val="en-US" w:eastAsia="zh-CN" w:bidi="ar"/>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next w:val="1"/>
    <w:semiHidden/>
    <w:qFormat/>
    <w:uiPriority w:val="0"/>
    <w:pPr>
      <w:ind w:firstLine="525"/>
    </w:pPr>
    <w:rPr>
      <w:rFonts w:ascii="宋体" w:hAnsi="宋体"/>
    </w:rPr>
  </w:style>
  <w:style w:type="paragraph" w:customStyle="1" w:styleId="136">
    <w:name w:val="Normal_0"/>
    <w:next w:val="135"/>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basedOn w:val="1"/>
    <w:qFormat/>
    <w:uiPriority w:val="34"/>
    <w:pPr>
      <w:ind w:left="720"/>
      <w:contextualSpacing/>
    </w:p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216B67C-0B80-45FC-B471-5A1C5145D405}">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50</Pages>
  <Words>23101</Words>
  <Characters>25198</Characters>
  <Lines>1</Lines>
  <Paragraphs>1</Paragraphs>
  <TotalTime>5</TotalTime>
  <ScaleCrop>false</ScaleCrop>
  <LinksUpToDate>false</LinksUpToDate>
  <CharactersWithSpaces>26597</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2020-09-03T08:02:00Z</dcterms:created>
  <dc:creator>User</dc:creator>
  <cp:lastModifiedBy>userName</cp:lastModifiedBy>
  <cp:lastPrinted>2019-12-17T00:40:00Z</cp:lastPrinted>
  <dcterms:modified xsi:type="dcterms:W3CDTF">2024-04-26T07:18:34Z</dcterms:modified>
  <dc:title>云南省省级政府集中采购</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5BB22718E0E9427F97A41CCA025F540D</vt:lpwstr>
  </property>
</Properties>
</file>