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6"/>
        <w:jc w:val="center"/>
        <w:outlineLvl w:val="9"/>
        <w:rPr>
          <w:rFonts w:hint="eastAsia" w:ascii="仿宋" w:hAnsi="仿宋" w:eastAsia="仿宋" w:cs="仿宋"/>
          <w:b/>
          <w:bCs/>
          <w:color w:val="auto"/>
          <w:sz w:val="72"/>
          <w:szCs w:val="72"/>
          <w:highlight w:val="none"/>
          <w:lang w:eastAsia="zh-CN"/>
        </w:rPr>
      </w:pPr>
    </w:p>
    <w:p>
      <w:pPr>
        <w:jc w:val="center"/>
        <w:rPr>
          <w:rFonts w:hint="eastAsia" w:ascii="仿宋" w:hAnsi="仿宋" w:eastAsia="仿宋" w:cs="仿宋"/>
          <w:b/>
          <w:bCs/>
          <w:color w:val="auto"/>
          <w:kern w:val="0"/>
          <w:sz w:val="52"/>
          <w:szCs w:val="52"/>
          <w:highlight w:val="none"/>
        </w:rPr>
      </w:pPr>
      <w:r>
        <w:rPr>
          <w:rFonts w:hint="eastAsia" w:ascii="仿宋" w:hAnsi="仿宋" w:eastAsia="仿宋" w:cs="仿宋"/>
          <w:b/>
          <w:bCs/>
          <w:color w:val="auto"/>
          <w:kern w:val="0"/>
          <w:sz w:val="52"/>
          <w:szCs w:val="52"/>
          <w:highlight w:val="none"/>
          <w:lang w:eastAsia="zh-CN"/>
        </w:rPr>
        <w:t>云南师范大学世纪金源学校校方综合防范保险项目</w:t>
      </w:r>
    </w:p>
    <w:p>
      <w:pPr>
        <w:pStyle w:val="46"/>
        <w:outlineLvl w:val="9"/>
        <w:rPr>
          <w:rFonts w:hint="eastAsia" w:ascii="仿宋" w:hAnsi="仿宋" w:eastAsia="仿宋" w:cs="仿宋"/>
          <w:color w:val="auto"/>
          <w:highlight w:val="none"/>
        </w:rPr>
      </w:pPr>
    </w:p>
    <w:p>
      <w:pPr>
        <w:pStyle w:val="20"/>
        <w:spacing w:line="360" w:lineRule="auto"/>
        <w:jc w:val="both"/>
        <w:rPr>
          <w:rFonts w:hint="eastAsia" w:ascii="仿宋" w:hAnsi="仿宋" w:eastAsia="仿宋" w:cs="仿宋"/>
          <w:b/>
          <w:bCs/>
          <w:color w:val="auto"/>
          <w:sz w:val="84"/>
          <w:szCs w:val="84"/>
          <w:highlight w:val="none"/>
          <w:lang w:val="en-US" w:eastAsia="zh-CN"/>
        </w:rPr>
      </w:pPr>
      <w:r>
        <w:rPr>
          <w:rFonts w:hint="eastAsia" w:ascii="仿宋" w:hAnsi="仿宋" w:eastAsia="仿宋" w:cs="仿宋"/>
          <w:b/>
          <w:bCs/>
          <w:color w:val="auto"/>
          <w:sz w:val="84"/>
          <w:szCs w:val="84"/>
          <w:highlight w:val="none"/>
          <w:lang w:val="en-US" w:eastAsia="zh-CN"/>
        </w:rPr>
        <w:t xml:space="preserve"> </w:t>
      </w:r>
    </w:p>
    <w:p>
      <w:pPr>
        <w:rPr>
          <w:rFonts w:hint="eastAsia" w:ascii="仿宋" w:hAnsi="仿宋" w:eastAsia="仿宋" w:cs="仿宋"/>
          <w:color w:val="auto"/>
          <w:highlight w:val="none"/>
          <w:lang w:eastAsia="zh-CN"/>
        </w:rPr>
      </w:pPr>
    </w:p>
    <w:p>
      <w:pPr>
        <w:outlineLvl w:val="9"/>
        <w:rPr>
          <w:rFonts w:hint="eastAsia" w:ascii="仿宋" w:hAnsi="仿宋" w:eastAsia="仿宋" w:cs="仿宋"/>
          <w:color w:val="auto"/>
          <w:highlight w:val="none"/>
          <w:lang w:eastAsia="zh-CN"/>
        </w:rPr>
      </w:pPr>
    </w:p>
    <w:p>
      <w:pPr>
        <w:rPr>
          <w:rFonts w:hint="eastAsia" w:ascii="仿宋" w:hAnsi="仿宋" w:eastAsia="仿宋" w:cs="仿宋"/>
          <w:color w:val="auto"/>
          <w:highlight w:val="none"/>
        </w:rPr>
      </w:pPr>
    </w:p>
    <w:p>
      <w:pPr>
        <w:pStyle w:val="20"/>
        <w:spacing w:line="360" w:lineRule="auto"/>
        <w:jc w:val="center"/>
        <w:rPr>
          <w:rFonts w:hint="eastAsia" w:ascii="仿宋" w:hAnsi="仿宋" w:eastAsia="仿宋" w:cs="仿宋"/>
          <w:color w:val="auto"/>
          <w:highlight w:val="none"/>
        </w:rPr>
      </w:pPr>
      <w:r>
        <w:rPr>
          <w:rFonts w:hint="eastAsia" w:ascii="仿宋" w:hAnsi="仿宋" w:eastAsia="仿宋" w:cs="仿宋"/>
          <w:b/>
          <w:bCs/>
          <w:color w:val="auto"/>
          <w:sz w:val="84"/>
          <w:szCs w:val="84"/>
          <w:highlight w:val="none"/>
          <w:lang w:val="en-US" w:eastAsia="zh-CN"/>
        </w:rPr>
        <w:t>竞争性</w:t>
      </w:r>
      <w:r>
        <w:rPr>
          <w:rFonts w:hint="eastAsia" w:ascii="仿宋" w:hAnsi="仿宋" w:eastAsia="仿宋" w:cs="仿宋"/>
          <w:b/>
          <w:bCs/>
          <w:color w:val="auto"/>
          <w:sz w:val="84"/>
          <w:szCs w:val="84"/>
          <w:highlight w:val="none"/>
        </w:rPr>
        <w:t>比选文件</w:t>
      </w:r>
    </w:p>
    <w:p>
      <w:pPr>
        <w:pStyle w:val="20"/>
        <w:spacing w:line="360" w:lineRule="auto"/>
        <w:jc w:val="center"/>
        <w:rPr>
          <w:rFonts w:hint="eastAsia" w:ascii="仿宋" w:hAnsi="仿宋" w:eastAsia="仿宋" w:cs="仿宋"/>
          <w:b/>
          <w:bCs/>
          <w:color w:val="auto"/>
          <w:sz w:val="36"/>
          <w:szCs w:val="36"/>
          <w:highlight w:val="none"/>
          <w:lang w:eastAsia="zh-CN"/>
        </w:rPr>
      </w:pPr>
      <w:r>
        <w:rPr>
          <w:rFonts w:hint="eastAsia" w:ascii="仿宋" w:hAnsi="仿宋" w:eastAsia="仿宋" w:cs="仿宋"/>
          <w:b/>
          <w:bCs/>
          <w:color w:val="auto"/>
          <w:sz w:val="36"/>
          <w:szCs w:val="36"/>
          <w:highlight w:val="none"/>
          <w:lang w:eastAsia="zh-CN"/>
        </w:rPr>
        <w:t xml:space="preserve">   </w:t>
      </w:r>
    </w:p>
    <w:p>
      <w:pPr>
        <w:pStyle w:val="20"/>
        <w:spacing w:line="360" w:lineRule="auto"/>
        <w:rPr>
          <w:rFonts w:hint="eastAsia" w:ascii="仿宋" w:hAnsi="仿宋" w:eastAsia="仿宋" w:cs="仿宋"/>
          <w:color w:val="auto"/>
          <w:highlight w:val="none"/>
        </w:rPr>
      </w:pPr>
    </w:p>
    <w:p>
      <w:pPr>
        <w:pStyle w:val="20"/>
        <w:spacing w:line="360" w:lineRule="auto"/>
        <w:rPr>
          <w:rFonts w:hint="eastAsia" w:ascii="仿宋" w:hAnsi="仿宋" w:eastAsia="仿宋" w:cs="仿宋"/>
          <w:color w:val="auto"/>
          <w:highlight w:val="none"/>
        </w:rPr>
      </w:pPr>
    </w:p>
    <w:p>
      <w:pPr>
        <w:pStyle w:val="20"/>
        <w:spacing w:line="360" w:lineRule="auto"/>
        <w:rPr>
          <w:rFonts w:hint="eastAsia" w:ascii="仿宋" w:hAnsi="仿宋" w:eastAsia="仿宋" w:cs="仿宋"/>
          <w:b/>
          <w:bCs/>
          <w:color w:val="auto"/>
          <w:sz w:val="32"/>
          <w:highlight w:val="none"/>
        </w:rPr>
      </w:pPr>
    </w:p>
    <w:p>
      <w:pPr>
        <w:rPr>
          <w:rFonts w:hint="eastAsia" w:ascii="仿宋" w:hAnsi="仿宋" w:eastAsia="仿宋" w:cs="仿宋"/>
          <w:color w:val="auto"/>
          <w:highlight w:val="none"/>
        </w:rPr>
      </w:pPr>
    </w:p>
    <w:p>
      <w:pPr>
        <w:pStyle w:val="46"/>
        <w:outlineLvl w:val="9"/>
        <w:rPr>
          <w:rFonts w:hint="eastAsia" w:ascii="仿宋" w:hAnsi="仿宋" w:eastAsia="仿宋" w:cs="仿宋"/>
          <w:color w:val="auto"/>
          <w:highlight w:val="none"/>
          <w:lang w:eastAsia="zh-CN"/>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pStyle w:val="20"/>
        <w:spacing w:line="720" w:lineRule="auto"/>
        <w:jc w:val="center"/>
        <w:rPr>
          <w:rFonts w:hint="eastAsia" w:ascii="仿宋" w:hAnsi="仿宋" w:eastAsia="仿宋" w:cs="仿宋"/>
          <w:b/>
          <w:bCs/>
          <w:color w:val="auto"/>
          <w:sz w:val="36"/>
          <w:szCs w:val="36"/>
          <w:highlight w:val="none"/>
          <w:lang w:eastAsia="zh-CN"/>
        </w:rPr>
      </w:pPr>
      <w:r>
        <w:rPr>
          <w:rFonts w:hint="eastAsia" w:ascii="仿宋" w:hAnsi="仿宋" w:eastAsia="仿宋" w:cs="仿宋"/>
          <w:b/>
          <w:bCs/>
          <w:color w:val="auto"/>
          <w:sz w:val="36"/>
          <w:szCs w:val="36"/>
          <w:highlight w:val="none"/>
        </w:rPr>
        <w:t>招标人：</w:t>
      </w:r>
      <w:r>
        <w:rPr>
          <w:rFonts w:hint="eastAsia" w:ascii="仿宋" w:hAnsi="仿宋" w:eastAsia="仿宋" w:cs="仿宋"/>
          <w:b/>
          <w:bCs/>
          <w:color w:val="auto"/>
          <w:sz w:val="36"/>
          <w:szCs w:val="36"/>
          <w:highlight w:val="none"/>
          <w:lang w:eastAsia="zh-CN"/>
        </w:rPr>
        <w:t>云南师范大学附属世纪金源学校</w:t>
      </w:r>
    </w:p>
    <w:p>
      <w:pPr>
        <w:pStyle w:val="20"/>
        <w:spacing w:line="720" w:lineRule="auto"/>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二○二</w:t>
      </w:r>
      <w:r>
        <w:rPr>
          <w:rFonts w:hint="eastAsia" w:ascii="仿宋" w:hAnsi="仿宋" w:eastAsia="仿宋" w:cs="仿宋"/>
          <w:b/>
          <w:bCs/>
          <w:color w:val="auto"/>
          <w:sz w:val="36"/>
          <w:szCs w:val="36"/>
          <w:highlight w:val="none"/>
          <w:lang w:val="en-US" w:eastAsia="zh-CN"/>
        </w:rPr>
        <w:t>四</w:t>
      </w:r>
      <w:r>
        <w:rPr>
          <w:rFonts w:hint="eastAsia" w:ascii="仿宋" w:hAnsi="仿宋" w:eastAsia="仿宋" w:cs="仿宋"/>
          <w:b/>
          <w:bCs/>
          <w:color w:val="auto"/>
          <w:sz w:val="36"/>
          <w:szCs w:val="36"/>
          <w:highlight w:val="none"/>
        </w:rPr>
        <w:t>年</w:t>
      </w:r>
      <w:r>
        <w:rPr>
          <w:rFonts w:hint="eastAsia" w:ascii="仿宋" w:hAnsi="仿宋" w:eastAsia="仿宋" w:cs="仿宋"/>
          <w:b/>
          <w:bCs/>
          <w:color w:val="auto"/>
          <w:sz w:val="36"/>
          <w:szCs w:val="36"/>
          <w:highlight w:val="none"/>
          <w:lang w:val="en-US" w:eastAsia="zh-CN"/>
        </w:rPr>
        <w:t>八</w:t>
      </w:r>
      <w:r>
        <w:rPr>
          <w:rFonts w:hint="eastAsia" w:ascii="仿宋" w:hAnsi="仿宋" w:eastAsia="仿宋" w:cs="仿宋"/>
          <w:b/>
          <w:bCs/>
          <w:color w:val="auto"/>
          <w:sz w:val="36"/>
          <w:szCs w:val="36"/>
          <w:highlight w:val="none"/>
        </w:rPr>
        <w:t>月</w:t>
      </w:r>
    </w:p>
    <w:p>
      <w:pPr>
        <w:pStyle w:val="2"/>
        <w:numPr>
          <w:ilvl w:val="0"/>
          <w:numId w:val="0"/>
        </w:numPr>
        <w:spacing w:line="400" w:lineRule="exact"/>
        <w:jc w:val="center"/>
        <w:rPr>
          <w:rFonts w:hint="eastAsia" w:ascii="仿宋" w:hAnsi="仿宋" w:eastAsia="仿宋" w:cs="仿宋"/>
          <w:color w:val="auto"/>
          <w:sz w:val="32"/>
          <w:szCs w:val="21"/>
          <w:highlight w:val="none"/>
        </w:rPr>
        <w:sectPr>
          <w:headerReference r:id="rId3" w:type="default"/>
          <w:pgSz w:w="11906" w:h="16838"/>
          <w:pgMar w:top="1247" w:right="1134" w:bottom="1134" w:left="1247" w:header="510" w:footer="680" w:gutter="0"/>
          <w:pgNumType w:start="1"/>
          <w:cols w:space="720" w:num="1"/>
          <w:docGrid w:type="lines" w:linePitch="312" w:charSpace="0"/>
        </w:sectPr>
      </w:pPr>
      <w:bookmarkStart w:id="0" w:name="_Toc23217"/>
      <w:bookmarkStart w:id="1" w:name="_Toc28249"/>
      <w:bookmarkStart w:id="2" w:name="_Toc22511"/>
      <w:bookmarkStart w:id="3" w:name="_Toc4248"/>
      <w:bookmarkStart w:id="4" w:name="_Toc337822202"/>
      <w:bookmarkStart w:id="5" w:name="_Toc7051"/>
      <w:bookmarkStart w:id="6" w:name="_Toc9845"/>
      <w:bookmarkStart w:id="7" w:name="_Toc26256"/>
      <w:bookmarkStart w:id="8" w:name="_Toc12305"/>
    </w:p>
    <w:p>
      <w:pPr>
        <w:numPr>
          <w:ilvl w:val="0"/>
          <w:numId w:val="0"/>
        </w:numPr>
        <w:tabs>
          <w:tab w:val="left" w:pos="360"/>
        </w:tabs>
        <w:spacing w:line="400" w:lineRule="exact"/>
        <w:jc w:val="center"/>
        <w:outlineLvl w:val="9"/>
        <w:rPr>
          <w:rFonts w:hint="eastAsia" w:ascii="仿宋" w:hAnsi="仿宋" w:eastAsia="仿宋" w:cs="仿宋"/>
          <w:color w:val="auto"/>
          <w:highlight w:val="none"/>
        </w:rPr>
      </w:pPr>
      <w:bookmarkStart w:id="9" w:name="_Toc8002"/>
      <w:bookmarkStart w:id="10" w:name="_Toc21155"/>
      <w:bookmarkStart w:id="11" w:name="_Toc23601"/>
      <w:bookmarkStart w:id="12" w:name="_Toc24213"/>
      <w:bookmarkStart w:id="13" w:name="_Toc16190"/>
      <w:bookmarkStart w:id="14" w:name="_Toc14853"/>
      <w:bookmarkStart w:id="15" w:name="_Toc10584"/>
      <w:bookmarkStart w:id="16" w:name="_Toc17336"/>
      <w:bookmarkStart w:id="17" w:name="_Toc18922"/>
      <w:bookmarkStart w:id="18" w:name="_Toc21895"/>
      <w:r>
        <w:rPr>
          <w:rFonts w:hint="eastAsia" w:ascii="仿宋" w:hAnsi="仿宋" w:eastAsia="仿宋" w:cs="仿宋"/>
          <w:color w:val="auto"/>
          <w:sz w:val="32"/>
          <w:szCs w:val="21"/>
          <w:highlight w:val="none"/>
        </w:rPr>
        <w:t>目  录</w:t>
      </w:r>
      <w:bookmarkEnd w:id="0"/>
      <w:bookmarkEnd w:id="1"/>
      <w:bookmarkEnd w:id="2"/>
      <w:bookmarkEnd w:id="9"/>
      <w:bookmarkEnd w:id="10"/>
      <w:bookmarkEnd w:id="11"/>
      <w:bookmarkEnd w:id="12"/>
      <w:bookmarkEnd w:id="13"/>
      <w:bookmarkEnd w:id="14"/>
      <w:bookmarkEnd w:id="15"/>
      <w:bookmarkEnd w:id="16"/>
      <w:bookmarkEnd w:id="17"/>
      <w:bookmarkEnd w:id="18"/>
    </w:p>
    <w:p>
      <w:pPr>
        <w:pStyle w:val="27"/>
        <w:tabs>
          <w:tab w:val="right" w:leader="dot" w:pos="9525"/>
        </w:tabs>
      </w:pPr>
      <w:r>
        <w:rPr>
          <w:rFonts w:hint="eastAsia" w:ascii="仿宋" w:hAnsi="仿宋" w:eastAsia="仿宋" w:cs="仿宋"/>
          <w:color w:val="auto"/>
          <w:sz w:val="24"/>
          <w:szCs w:val="32"/>
          <w:highlight w:val="none"/>
        </w:rPr>
        <w:fldChar w:fldCharType="begin"/>
      </w:r>
      <w:r>
        <w:rPr>
          <w:rFonts w:hint="eastAsia" w:ascii="仿宋" w:hAnsi="仿宋" w:eastAsia="仿宋" w:cs="仿宋"/>
          <w:color w:val="auto"/>
          <w:sz w:val="24"/>
          <w:szCs w:val="32"/>
          <w:highlight w:val="none"/>
        </w:rPr>
        <w:instrText xml:space="preserve">TOC \o "1-3" \h \u </w:instrText>
      </w:r>
      <w:r>
        <w:rPr>
          <w:rFonts w:hint="eastAsia" w:ascii="仿宋" w:hAnsi="仿宋" w:eastAsia="仿宋" w:cs="仿宋"/>
          <w:color w:val="auto"/>
          <w:sz w:val="24"/>
          <w:szCs w:val="32"/>
          <w:highlight w:val="none"/>
        </w:rPr>
        <w:fldChar w:fldCharType="separate"/>
      </w: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_Toc29962 </w:instrText>
      </w:r>
      <w:r>
        <w:rPr>
          <w:rFonts w:hint="eastAsia" w:ascii="仿宋" w:hAnsi="仿宋" w:eastAsia="仿宋" w:cs="仿宋"/>
          <w:szCs w:val="32"/>
          <w:highlight w:val="none"/>
        </w:rPr>
        <w:fldChar w:fldCharType="separate"/>
      </w:r>
      <w:r>
        <w:rPr>
          <w:rFonts w:hint="eastAsia" w:ascii="仿宋" w:hAnsi="仿宋" w:eastAsia="仿宋" w:cs="仿宋"/>
          <w:szCs w:val="32"/>
          <w:highlight w:val="none"/>
        </w:rPr>
        <w:t xml:space="preserve">第一章  </w:t>
      </w:r>
      <w:r>
        <w:rPr>
          <w:rFonts w:hint="eastAsia" w:ascii="仿宋" w:hAnsi="仿宋" w:eastAsia="仿宋" w:cs="仿宋"/>
          <w:szCs w:val="32"/>
          <w:highlight w:val="none"/>
          <w:lang w:val="en-US" w:eastAsia="zh-CN"/>
        </w:rPr>
        <w:t>竞争性</w:t>
      </w:r>
      <w:r>
        <w:rPr>
          <w:rFonts w:hint="eastAsia" w:ascii="仿宋" w:hAnsi="仿宋" w:eastAsia="仿宋" w:cs="仿宋"/>
          <w:szCs w:val="32"/>
          <w:highlight w:val="none"/>
        </w:rPr>
        <w:t>比选公告</w:t>
      </w:r>
      <w:r>
        <w:tab/>
      </w:r>
      <w:r>
        <w:fldChar w:fldCharType="begin"/>
      </w:r>
      <w:r>
        <w:instrText xml:space="preserve"> PAGEREF _Toc29962 \h </w:instrText>
      </w:r>
      <w:r>
        <w:fldChar w:fldCharType="separate"/>
      </w:r>
      <w:r>
        <w:t>1</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_Toc32558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一、项目基本情况</w:t>
      </w:r>
      <w:r>
        <w:tab/>
      </w:r>
      <w:r>
        <w:fldChar w:fldCharType="begin"/>
      </w:r>
      <w:r>
        <w:instrText xml:space="preserve"> PAGEREF _Toc32558 \h </w:instrText>
      </w:r>
      <w:r>
        <w:fldChar w:fldCharType="separate"/>
      </w:r>
      <w:r>
        <w:t>1</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_Toc16581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二、投标人的资格要求：</w:t>
      </w:r>
      <w:r>
        <w:tab/>
      </w:r>
      <w:r>
        <w:fldChar w:fldCharType="begin"/>
      </w:r>
      <w:r>
        <w:instrText xml:space="preserve"> PAGEREF _Toc16581 \h </w:instrText>
      </w:r>
      <w:r>
        <w:fldChar w:fldCharType="separate"/>
      </w:r>
      <w:r>
        <w:t>1</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_Toc7531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三、获取比选文件</w:t>
      </w:r>
      <w:r>
        <w:tab/>
      </w:r>
      <w:r>
        <w:fldChar w:fldCharType="begin"/>
      </w:r>
      <w:r>
        <w:instrText xml:space="preserve"> PAGEREF _Toc7531 \h </w:instrText>
      </w:r>
      <w:r>
        <w:fldChar w:fldCharType="separate"/>
      </w:r>
      <w:r>
        <w:t>3</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_Toc7912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四、</w:t>
      </w:r>
      <w:r>
        <w:rPr>
          <w:rFonts w:hint="eastAsia" w:ascii="仿宋" w:hAnsi="仿宋" w:eastAsia="仿宋" w:cs="仿宋"/>
          <w:highlight w:val="none"/>
          <w:lang w:val="en-US" w:eastAsia="zh-CN"/>
        </w:rPr>
        <w:t>竞争性</w:t>
      </w:r>
      <w:r>
        <w:rPr>
          <w:rFonts w:hint="eastAsia" w:ascii="仿宋" w:hAnsi="仿宋" w:eastAsia="仿宋" w:cs="仿宋"/>
          <w:bCs/>
          <w:highlight w:val="none"/>
        </w:rPr>
        <w:t>比选文件提交</w:t>
      </w:r>
      <w:r>
        <w:tab/>
      </w:r>
      <w:r>
        <w:fldChar w:fldCharType="begin"/>
      </w:r>
      <w:r>
        <w:instrText xml:space="preserve"> PAGEREF _Toc7912 \h </w:instrText>
      </w:r>
      <w:r>
        <w:fldChar w:fldCharType="separate"/>
      </w:r>
      <w:r>
        <w:t>3</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_Toc8469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五、开启</w:t>
      </w:r>
      <w:r>
        <w:tab/>
      </w:r>
      <w:r>
        <w:fldChar w:fldCharType="begin"/>
      </w:r>
      <w:r>
        <w:instrText xml:space="preserve"> PAGEREF _Toc8469 \h </w:instrText>
      </w:r>
      <w:r>
        <w:fldChar w:fldCharType="separate"/>
      </w:r>
      <w:r>
        <w:t>3</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_Toc24530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六、公告期限</w:t>
      </w:r>
      <w:r>
        <w:tab/>
      </w:r>
      <w:r>
        <w:fldChar w:fldCharType="begin"/>
      </w:r>
      <w:r>
        <w:instrText xml:space="preserve"> PAGEREF _Toc24530 \h </w:instrText>
      </w:r>
      <w:r>
        <w:fldChar w:fldCharType="separate"/>
      </w:r>
      <w:r>
        <w:t>3</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_Toc2115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八、凡对本次</w:t>
      </w:r>
      <w:r>
        <w:rPr>
          <w:rFonts w:hint="eastAsia" w:ascii="仿宋" w:hAnsi="仿宋" w:eastAsia="仿宋" w:cs="仿宋"/>
          <w:bCs/>
          <w:highlight w:val="none"/>
          <w:lang w:val="en-US" w:eastAsia="zh-CN"/>
        </w:rPr>
        <w:t>招标</w:t>
      </w:r>
      <w:r>
        <w:rPr>
          <w:rFonts w:hint="eastAsia" w:ascii="仿宋" w:hAnsi="仿宋" w:eastAsia="仿宋" w:cs="仿宋"/>
          <w:bCs/>
          <w:highlight w:val="none"/>
        </w:rPr>
        <w:t>提出询问，请按以下方式联系</w:t>
      </w:r>
      <w:r>
        <w:tab/>
      </w:r>
      <w:r>
        <w:fldChar w:fldCharType="begin"/>
      </w:r>
      <w:r>
        <w:instrText xml:space="preserve"> PAGEREF _Toc2115 \h </w:instrText>
      </w:r>
      <w:r>
        <w:fldChar w:fldCharType="separate"/>
      </w:r>
      <w:r>
        <w:t>3</w:t>
      </w:r>
      <w:r>
        <w:fldChar w:fldCharType="end"/>
      </w:r>
      <w:r>
        <w:rPr>
          <w:rFonts w:hint="eastAsia" w:ascii="仿宋" w:hAnsi="仿宋" w:eastAsia="仿宋" w:cs="仿宋"/>
          <w:color w:val="auto"/>
          <w:szCs w:val="32"/>
          <w:highlight w:val="none"/>
        </w:rPr>
        <w:fldChar w:fldCharType="end"/>
      </w:r>
    </w:p>
    <w:p>
      <w:pPr>
        <w:pStyle w:val="27"/>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_Toc933 </w:instrText>
      </w:r>
      <w:r>
        <w:rPr>
          <w:rFonts w:hint="eastAsia" w:ascii="仿宋" w:hAnsi="仿宋" w:eastAsia="仿宋" w:cs="仿宋"/>
          <w:szCs w:val="32"/>
          <w:highlight w:val="none"/>
        </w:rPr>
        <w:fldChar w:fldCharType="separate"/>
      </w:r>
      <w:r>
        <w:rPr>
          <w:rFonts w:hint="eastAsia" w:ascii="仿宋" w:hAnsi="仿宋" w:eastAsia="仿宋" w:cs="仿宋"/>
          <w:szCs w:val="32"/>
          <w:highlight w:val="none"/>
        </w:rPr>
        <w:t>第二章  投标人须知</w:t>
      </w:r>
      <w:r>
        <w:tab/>
      </w:r>
      <w:r>
        <w:fldChar w:fldCharType="begin"/>
      </w:r>
      <w:r>
        <w:instrText xml:space="preserve"> PAGEREF _Toc933 \h </w:instrText>
      </w:r>
      <w:r>
        <w:fldChar w:fldCharType="separate"/>
      </w:r>
      <w:r>
        <w:t>4</w:t>
      </w:r>
      <w:r>
        <w:fldChar w:fldCharType="end"/>
      </w:r>
      <w:r>
        <w:rPr>
          <w:rFonts w:hint="eastAsia" w:ascii="仿宋" w:hAnsi="仿宋" w:eastAsia="仿宋" w:cs="仿宋"/>
          <w:color w:val="auto"/>
          <w:szCs w:val="32"/>
          <w:highlight w:val="none"/>
        </w:rPr>
        <w:fldChar w:fldCharType="end"/>
      </w:r>
    </w:p>
    <w:p>
      <w:pPr>
        <w:pStyle w:val="27"/>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_Toc2894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投标人须知前附表</w:t>
      </w:r>
      <w:r>
        <w:tab/>
      </w:r>
      <w:r>
        <w:fldChar w:fldCharType="begin"/>
      </w:r>
      <w:r>
        <w:instrText xml:space="preserve"> PAGEREF _Toc2894 \h </w:instrText>
      </w:r>
      <w:r>
        <w:fldChar w:fldCharType="separate"/>
      </w:r>
      <w:r>
        <w:t>4</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_Toc16149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一、总  则</w:t>
      </w:r>
      <w:r>
        <w:tab/>
      </w:r>
      <w:r>
        <w:fldChar w:fldCharType="begin"/>
      </w:r>
      <w:r>
        <w:instrText xml:space="preserve"> PAGEREF _Toc16149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_Toc23282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项目概况</w:t>
      </w:r>
      <w:r>
        <w:tab/>
      </w:r>
      <w:r>
        <w:fldChar w:fldCharType="begin"/>
      </w:r>
      <w:r>
        <w:instrText xml:space="preserve"> PAGEREF _Toc23282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_Toc23409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资金来源</w:t>
      </w:r>
      <w:r>
        <w:tab/>
      </w:r>
      <w:r>
        <w:fldChar w:fldCharType="begin"/>
      </w:r>
      <w:r>
        <w:instrText xml:space="preserve"> PAGEREF _Toc23409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_Toc12445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招标范围及合同履行期限</w:t>
      </w:r>
      <w:r>
        <w:tab/>
      </w:r>
      <w:r>
        <w:fldChar w:fldCharType="begin"/>
      </w:r>
      <w:r>
        <w:instrText xml:space="preserve"> PAGEREF _Toc12445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_Toc29776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★合格的投标人（以下简称投标人）</w:t>
      </w:r>
      <w:r>
        <w:tab/>
      </w:r>
      <w:r>
        <w:fldChar w:fldCharType="begin"/>
      </w:r>
      <w:r>
        <w:instrText xml:space="preserve"> PAGEREF _Toc29776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_Toc18944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5. </w:t>
      </w:r>
      <w:r>
        <w:rPr>
          <w:rFonts w:hint="eastAsia" w:ascii="仿宋" w:hAnsi="仿宋" w:eastAsia="仿宋" w:cs="仿宋"/>
          <w:szCs w:val="24"/>
          <w:highlight w:val="none"/>
        </w:rPr>
        <w:t>比选费用</w:t>
      </w:r>
      <w:r>
        <w:tab/>
      </w:r>
      <w:r>
        <w:fldChar w:fldCharType="begin"/>
      </w:r>
      <w:r>
        <w:instrText xml:space="preserve"> PAGEREF _Toc18944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_Toc26439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二、比选文件</w:t>
      </w:r>
      <w:r>
        <w:tab/>
      </w:r>
      <w:r>
        <w:fldChar w:fldCharType="begin"/>
      </w:r>
      <w:r>
        <w:instrText xml:space="preserve"> PAGEREF _Toc26439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_Toc29277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比选文件的组成</w:t>
      </w:r>
      <w:r>
        <w:tab/>
      </w:r>
      <w:r>
        <w:fldChar w:fldCharType="begin"/>
      </w:r>
      <w:r>
        <w:instrText xml:space="preserve"> PAGEREF _Toc29277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_Toc11912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比选文件的澄清、修改</w:t>
      </w:r>
      <w:r>
        <w:tab/>
      </w:r>
      <w:r>
        <w:fldChar w:fldCharType="begin"/>
      </w:r>
      <w:r>
        <w:instrText xml:space="preserve"> PAGEREF _Toc11912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_Toc3889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三、响应文件的编制</w:t>
      </w:r>
      <w:r>
        <w:tab/>
      </w:r>
      <w:r>
        <w:fldChar w:fldCharType="begin"/>
      </w:r>
      <w:r>
        <w:instrText xml:space="preserve"> PAGEREF _Toc3889 \h </w:instrText>
      </w:r>
      <w:r>
        <w:fldChar w:fldCharType="separate"/>
      </w:r>
      <w:r>
        <w:t>7</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_Toc25960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响应文件编写注意事项</w:t>
      </w:r>
      <w:r>
        <w:tab/>
      </w:r>
      <w:r>
        <w:fldChar w:fldCharType="begin"/>
      </w:r>
      <w:r>
        <w:instrText xml:space="preserve"> PAGEREF _Toc25960 \h </w:instrText>
      </w:r>
      <w:r>
        <w:fldChar w:fldCharType="separate"/>
      </w:r>
      <w:r>
        <w:t>7</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_Toc4896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响应文件构成</w:t>
      </w:r>
      <w:r>
        <w:tab/>
      </w:r>
      <w:r>
        <w:fldChar w:fldCharType="begin"/>
      </w:r>
      <w:r>
        <w:instrText xml:space="preserve"> PAGEREF _Toc4896 \h </w:instrText>
      </w:r>
      <w:r>
        <w:fldChar w:fldCharType="separate"/>
      </w:r>
      <w:r>
        <w:t>7</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_Toc28180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报价和报价货币</w:t>
      </w:r>
      <w:r>
        <w:tab/>
      </w:r>
      <w:r>
        <w:fldChar w:fldCharType="begin"/>
      </w:r>
      <w:r>
        <w:instrText xml:space="preserve"> PAGEREF _Toc28180 \h </w:instrText>
      </w:r>
      <w:r>
        <w:fldChar w:fldCharType="separate"/>
      </w:r>
      <w:r>
        <w:t>7</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_Toc4431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有效期</w:t>
      </w:r>
      <w:r>
        <w:tab/>
      </w:r>
      <w:r>
        <w:fldChar w:fldCharType="begin"/>
      </w:r>
      <w:r>
        <w:instrText xml:space="preserve"> PAGEREF _Toc4431 \h </w:instrText>
      </w:r>
      <w:r>
        <w:fldChar w:fldCharType="separate"/>
      </w:r>
      <w:r>
        <w:t>7</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_Toc10759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5. </w:t>
      </w:r>
      <w:r>
        <w:rPr>
          <w:rFonts w:hint="eastAsia" w:ascii="仿宋" w:hAnsi="仿宋" w:eastAsia="仿宋" w:cs="仿宋"/>
          <w:szCs w:val="24"/>
          <w:highlight w:val="none"/>
        </w:rPr>
        <w:t>响应文件的书写要求</w:t>
      </w:r>
      <w:r>
        <w:tab/>
      </w:r>
      <w:r>
        <w:fldChar w:fldCharType="begin"/>
      </w:r>
      <w:r>
        <w:instrText xml:space="preserve"> PAGEREF _Toc10759 \h </w:instrText>
      </w:r>
      <w:r>
        <w:fldChar w:fldCharType="separate"/>
      </w:r>
      <w:r>
        <w:t>8</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_Toc15510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6. </w:t>
      </w:r>
      <w:r>
        <w:rPr>
          <w:rFonts w:hint="eastAsia" w:ascii="仿宋" w:hAnsi="仿宋" w:eastAsia="仿宋" w:cs="仿宋"/>
          <w:szCs w:val="24"/>
          <w:highlight w:val="none"/>
          <w:lang w:val="en-US" w:eastAsia="zh-CN"/>
        </w:rPr>
        <w:t>比选</w:t>
      </w:r>
      <w:r>
        <w:rPr>
          <w:rFonts w:hint="eastAsia" w:ascii="仿宋" w:hAnsi="仿宋" w:eastAsia="仿宋" w:cs="仿宋"/>
          <w:szCs w:val="24"/>
          <w:highlight w:val="none"/>
        </w:rPr>
        <w:t>保证金</w:t>
      </w:r>
      <w:r>
        <w:tab/>
      </w:r>
      <w:r>
        <w:fldChar w:fldCharType="begin"/>
      </w:r>
      <w:r>
        <w:instrText xml:space="preserve"> PAGEREF _Toc15510 \h </w:instrText>
      </w:r>
      <w:r>
        <w:fldChar w:fldCharType="separate"/>
      </w:r>
      <w:r>
        <w:t>8</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_Toc757 </w:instrText>
      </w:r>
      <w:r>
        <w:rPr>
          <w:rFonts w:hint="eastAsia" w:ascii="仿宋" w:hAnsi="仿宋" w:eastAsia="仿宋" w:cs="仿宋"/>
          <w:szCs w:val="32"/>
          <w:highlight w:val="none"/>
        </w:rPr>
        <w:fldChar w:fldCharType="separate"/>
      </w:r>
      <w:r>
        <w:rPr>
          <w:rFonts w:hint="eastAsia" w:ascii="仿宋" w:hAnsi="仿宋" w:eastAsia="仿宋" w:cs="仿宋"/>
          <w:bCs w:val="0"/>
          <w:kern w:val="2"/>
          <w:szCs w:val="21"/>
          <w:highlight w:val="none"/>
          <w:lang w:val="en-US" w:eastAsia="zh-CN" w:bidi="ar-SA"/>
        </w:rPr>
        <w:t>本项目不收取比选保证金。</w:t>
      </w:r>
      <w:r>
        <w:tab/>
      </w:r>
      <w:r>
        <w:fldChar w:fldCharType="begin"/>
      </w:r>
      <w:r>
        <w:instrText xml:space="preserve"> PAGEREF _Toc757 \h </w:instrText>
      </w:r>
      <w:r>
        <w:fldChar w:fldCharType="separate"/>
      </w:r>
      <w:r>
        <w:t>8</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_Toc14633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四、响应文件的提交</w:t>
      </w:r>
      <w:r>
        <w:tab/>
      </w:r>
      <w:r>
        <w:fldChar w:fldCharType="begin"/>
      </w:r>
      <w:r>
        <w:instrText xml:space="preserve"> PAGEREF _Toc14633 \h </w:instrText>
      </w:r>
      <w:r>
        <w:fldChar w:fldCharType="separate"/>
      </w:r>
      <w:r>
        <w:t>8</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_Toc12358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响应文件的密封与标记</w:t>
      </w:r>
      <w:r>
        <w:tab/>
      </w:r>
      <w:r>
        <w:fldChar w:fldCharType="begin"/>
      </w:r>
      <w:r>
        <w:instrText xml:space="preserve"> PAGEREF _Toc12358 \h </w:instrText>
      </w:r>
      <w:r>
        <w:fldChar w:fldCharType="separate"/>
      </w:r>
      <w:r>
        <w:t>8</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_Toc7344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递交响应文件的截止时间和地点</w:t>
      </w:r>
      <w:r>
        <w:tab/>
      </w:r>
      <w:r>
        <w:fldChar w:fldCharType="begin"/>
      </w:r>
      <w:r>
        <w:instrText xml:space="preserve"> PAGEREF _Toc7344 \h </w:instrText>
      </w:r>
      <w:r>
        <w:fldChar w:fldCharType="separate"/>
      </w:r>
      <w:r>
        <w:t>8</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_Toc17765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五、比选与评审</w:t>
      </w:r>
      <w:r>
        <w:tab/>
      </w:r>
      <w:r>
        <w:fldChar w:fldCharType="begin"/>
      </w:r>
      <w:r>
        <w:instrText xml:space="preserve"> PAGEREF _Toc17765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_Toc6108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比选</w:t>
      </w:r>
      <w:r>
        <w:tab/>
      </w:r>
      <w:r>
        <w:fldChar w:fldCharType="begin"/>
      </w:r>
      <w:r>
        <w:instrText xml:space="preserve"> PAGEREF _Toc6108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_Toc14177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评审</w:t>
      </w:r>
      <w:r>
        <w:tab/>
      </w:r>
      <w:r>
        <w:fldChar w:fldCharType="begin"/>
      </w:r>
      <w:r>
        <w:instrText xml:space="preserve"> PAGEREF _Toc14177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_Toc24068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评审过程的保密</w:t>
      </w:r>
      <w:r>
        <w:tab/>
      </w:r>
      <w:r>
        <w:fldChar w:fldCharType="begin"/>
      </w:r>
      <w:r>
        <w:instrText xml:space="preserve"> PAGEREF _Toc24068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_Toc15538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出现下列情形之一的，项目终止：</w:t>
      </w:r>
      <w:r>
        <w:tab/>
      </w:r>
      <w:r>
        <w:fldChar w:fldCharType="begin"/>
      </w:r>
      <w:r>
        <w:instrText xml:space="preserve"> PAGEREF _Toc15538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_Toc16977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六、中标结果</w:t>
      </w:r>
      <w:r>
        <w:tab/>
      </w:r>
      <w:r>
        <w:fldChar w:fldCharType="begin"/>
      </w:r>
      <w:r>
        <w:instrText xml:space="preserve"> PAGEREF _Toc16977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_Toc16425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中标通知书</w:t>
      </w:r>
      <w:r>
        <w:tab/>
      </w:r>
      <w:r>
        <w:fldChar w:fldCharType="begin"/>
      </w:r>
      <w:r>
        <w:instrText xml:space="preserve"> PAGEREF _Toc16425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_Toc32628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签订合同</w:t>
      </w:r>
      <w:r>
        <w:tab/>
      </w:r>
      <w:r>
        <w:fldChar w:fldCharType="begin"/>
      </w:r>
      <w:r>
        <w:instrText xml:space="preserve"> PAGEREF _Toc32628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_Toc10317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履约保证金</w:t>
      </w:r>
      <w:r>
        <w:rPr>
          <w:rFonts w:hint="eastAsia" w:ascii="仿宋" w:hAnsi="仿宋" w:eastAsia="仿宋" w:cs="仿宋"/>
          <w:szCs w:val="24"/>
          <w:highlight w:val="none"/>
          <w:lang w:eastAsia="zh-CN"/>
        </w:rPr>
        <w:t>（</w:t>
      </w:r>
      <w:r>
        <w:rPr>
          <w:rFonts w:hint="eastAsia" w:ascii="仿宋" w:hAnsi="仿宋" w:eastAsia="仿宋" w:cs="仿宋"/>
          <w:szCs w:val="24"/>
          <w:highlight w:val="none"/>
          <w:lang w:val="en-US" w:eastAsia="zh-CN"/>
        </w:rPr>
        <w:t>本项目不涉及</w:t>
      </w:r>
      <w:r>
        <w:rPr>
          <w:rFonts w:hint="eastAsia" w:ascii="仿宋" w:hAnsi="仿宋" w:eastAsia="仿宋" w:cs="仿宋"/>
          <w:szCs w:val="24"/>
          <w:highlight w:val="none"/>
          <w:lang w:eastAsia="zh-CN"/>
        </w:rPr>
        <w:t>）</w:t>
      </w:r>
      <w:r>
        <w:tab/>
      </w:r>
      <w:r>
        <w:fldChar w:fldCharType="begin"/>
      </w:r>
      <w:r>
        <w:instrText xml:space="preserve"> PAGEREF _Toc10317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_Toc1543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七、其他事项</w:t>
      </w:r>
      <w:r>
        <w:tab/>
      </w:r>
      <w:r>
        <w:fldChar w:fldCharType="begin"/>
      </w:r>
      <w:r>
        <w:instrText xml:space="preserve"> PAGEREF _Toc1543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_Toc32437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质疑和投诉</w:t>
      </w:r>
      <w:r>
        <w:tab/>
      </w:r>
      <w:r>
        <w:fldChar w:fldCharType="begin"/>
      </w:r>
      <w:r>
        <w:instrText xml:space="preserve"> PAGEREF _Toc32437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_Toc20234 </w:instrText>
      </w:r>
      <w:r>
        <w:rPr>
          <w:rFonts w:hint="eastAsia" w:ascii="仿宋" w:hAnsi="仿宋" w:eastAsia="仿宋" w:cs="仿宋"/>
          <w:szCs w:val="32"/>
          <w:highlight w:val="none"/>
        </w:rPr>
        <w:fldChar w:fldCharType="separate"/>
      </w:r>
      <w:r>
        <w:rPr>
          <w:rFonts w:hint="default" w:ascii="仿宋" w:hAnsi="仿宋" w:eastAsia="仿宋" w:cs="仿宋"/>
          <w:szCs w:val="24"/>
          <w:lang w:val="en-US" w:eastAsia="zh-CN"/>
        </w:rPr>
        <w:t xml:space="preserve">2. </w:t>
      </w:r>
      <w:r>
        <w:rPr>
          <w:rFonts w:hint="eastAsia" w:ascii="仿宋" w:hAnsi="仿宋" w:eastAsia="仿宋" w:cs="仿宋"/>
          <w:szCs w:val="24"/>
          <w:highlight w:val="none"/>
          <w:lang w:val="en-US" w:eastAsia="zh-CN"/>
        </w:rPr>
        <w:t>需要补充的其他内容</w:t>
      </w:r>
      <w:r>
        <w:tab/>
      </w:r>
      <w:r>
        <w:fldChar w:fldCharType="begin"/>
      </w:r>
      <w:r>
        <w:instrText xml:space="preserve"> PAGEREF _Toc20234 \h </w:instrText>
      </w:r>
      <w:r>
        <w:fldChar w:fldCharType="separate"/>
      </w:r>
      <w:r>
        <w:t>11</w:t>
      </w:r>
      <w:r>
        <w:fldChar w:fldCharType="end"/>
      </w:r>
      <w:r>
        <w:rPr>
          <w:rFonts w:hint="eastAsia" w:ascii="仿宋" w:hAnsi="仿宋" w:eastAsia="仿宋" w:cs="仿宋"/>
          <w:color w:val="auto"/>
          <w:szCs w:val="32"/>
          <w:highlight w:val="none"/>
        </w:rPr>
        <w:fldChar w:fldCharType="end"/>
      </w:r>
    </w:p>
    <w:p>
      <w:pPr>
        <w:pStyle w:val="27"/>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_Toc7966 </w:instrText>
      </w:r>
      <w:r>
        <w:rPr>
          <w:rFonts w:hint="eastAsia" w:ascii="仿宋" w:hAnsi="仿宋" w:eastAsia="仿宋" w:cs="仿宋"/>
          <w:szCs w:val="32"/>
          <w:highlight w:val="none"/>
        </w:rPr>
        <w:fldChar w:fldCharType="separate"/>
      </w:r>
      <w:r>
        <w:rPr>
          <w:rFonts w:hint="eastAsia" w:ascii="仿宋" w:hAnsi="仿宋" w:eastAsia="仿宋" w:cs="仿宋"/>
          <w:bCs/>
          <w:kern w:val="0"/>
          <w:szCs w:val="32"/>
          <w:highlight w:val="none"/>
        </w:rPr>
        <w:t>第三章  响应文件格式</w:t>
      </w:r>
      <w:r>
        <w:tab/>
      </w:r>
      <w:r>
        <w:fldChar w:fldCharType="begin"/>
      </w:r>
      <w:r>
        <w:instrText xml:space="preserve"> PAGEREF _Toc7966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_Toc23315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rPr>
        <w:t xml:space="preserve">第一部分 </w:t>
      </w:r>
      <w:r>
        <w:rPr>
          <w:rFonts w:hint="eastAsia" w:ascii="仿宋" w:hAnsi="仿宋" w:eastAsia="仿宋" w:cs="仿宋"/>
          <w:bCs/>
          <w:szCs w:val="28"/>
          <w:highlight w:val="none"/>
          <w:lang w:eastAsia="zh-CN"/>
        </w:rPr>
        <w:t>响应文件</w:t>
      </w:r>
      <w:r>
        <w:rPr>
          <w:rFonts w:hint="eastAsia" w:ascii="仿宋" w:hAnsi="仿宋" w:eastAsia="仿宋" w:cs="仿宋"/>
          <w:bCs/>
          <w:szCs w:val="28"/>
          <w:highlight w:val="none"/>
        </w:rPr>
        <w:t>资格审查部分格式</w:t>
      </w:r>
      <w:r>
        <w:tab/>
      </w:r>
      <w:r>
        <w:fldChar w:fldCharType="begin"/>
      </w:r>
      <w:r>
        <w:instrText xml:space="preserve"> PAGEREF _Toc23315 \h </w:instrText>
      </w:r>
      <w:r>
        <w:fldChar w:fldCharType="separate"/>
      </w:r>
      <w:r>
        <w:t>15</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_Toc5204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一、投标人基本情况表</w:t>
      </w:r>
      <w:r>
        <w:tab/>
      </w:r>
      <w:r>
        <w:fldChar w:fldCharType="begin"/>
      </w:r>
      <w:r>
        <w:instrText xml:space="preserve"> PAGEREF _Toc5204 \h </w:instrText>
      </w:r>
      <w:r>
        <w:fldChar w:fldCharType="separate"/>
      </w:r>
      <w:r>
        <w:t>15</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_Toc3111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二、法定代表人身份证明及授权委托书</w:t>
      </w:r>
      <w:r>
        <w:tab/>
      </w:r>
      <w:r>
        <w:fldChar w:fldCharType="begin"/>
      </w:r>
      <w:r>
        <w:instrText xml:space="preserve"> PAGEREF _Toc3111 \h </w:instrText>
      </w:r>
      <w:r>
        <w:fldChar w:fldCharType="separate"/>
      </w:r>
      <w:r>
        <w:t>16</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_Toc14619 </w:instrText>
      </w:r>
      <w:r>
        <w:rPr>
          <w:rFonts w:hint="eastAsia" w:ascii="仿宋" w:hAnsi="仿宋" w:eastAsia="仿宋" w:cs="仿宋"/>
          <w:szCs w:val="32"/>
          <w:highlight w:val="none"/>
        </w:rPr>
        <w:fldChar w:fldCharType="separate"/>
      </w:r>
      <w:r>
        <w:rPr>
          <w:rFonts w:hint="eastAsia" w:ascii="仿宋" w:hAnsi="仿宋" w:eastAsia="仿宋" w:cs="仿宋"/>
          <w:szCs w:val="21"/>
          <w:lang w:val="en-US" w:eastAsia="zh-CN"/>
        </w:rPr>
        <w:t xml:space="preserve">三、 </w:t>
      </w:r>
      <w:r>
        <w:rPr>
          <w:rFonts w:hint="eastAsia" w:ascii="仿宋" w:hAnsi="仿宋" w:eastAsia="仿宋" w:cs="仿宋"/>
          <w:szCs w:val="21"/>
          <w:highlight w:val="none"/>
          <w:lang w:val="en-US" w:eastAsia="zh-CN"/>
        </w:rPr>
        <w:t>投标人资格要求</w:t>
      </w:r>
      <w:r>
        <w:tab/>
      </w:r>
      <w:r>
        <w:fldChar w:fldCharType="begin"/>
      </w:r>
      <w:r>
        <w:instrText xml:space="preserve"> PAGEREF _Toc14619 \h </w:instrText>
      </w:r>
      <w:r>
        <w:fldChar w:fldCharType="separate"/>
      </w:r>
      <w:r>
        <w:t>18</w:t>
      </w:r>
      <w:r>
        <w:fldChar w:fldCharType="end"/>
      </w:r>
      <w:r>
        <w:rPr>
          <w:rFonts w:hint="eastAsia" w:ascii="仿宋" w:hAnsi="仿宋" w:eastAsia="仿宋" w:cs="仿宋"/>
          <w:color w:val="auto"/>
          <w:szCs w:val="32"/>
          <w:highlight w:val="none"/>
        </w:rPr>
        <w:fldChar w:fldCharType="end"/>
      </w:r>
    </w:p>
    <w:p>
      <w:pPr>
        <w:pStyle w:val="31"/>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_Toc14181 </w:instrText>
      </w:r>
      <w:r>
        <w:rPr>
          <w:rFonts w:hint="eastAsia" w:ascii="仿宋" w:hAnsi="仿宋" w:eastAsia="仿宋" w:cs="仿宋"/>
          <w:szCs w:val="32"/>
          <w:highlight w:val="none"/>
        </w:rPr>
        <w:fldChar w:fldCharType="separate"/>
      </w:r>
      <w:r>
        <w:rPr>
          <w:rFonts w:hint="eastAsia" w:ascii="仿宋" w:hAnsi="仿宋" w:eastAsia="仿宋" w:cs="仿宋"/>
          <w:bCs/>
          <w:kern w:val="2"/>
          <w:szCs w:val="28"/>
          <w:highlight w:val="none"/>
          <w:lang w:val="en-US" w:eastAsia="zh-CN" w:bidi="ar-SA"/>
        </w:rPr>
        <w:t>第二部分 响应文件技术、服务部分格式</w:t>
      </w:r>
      <w:r>
        <w:tab/>
      </w:r>
      <w:r>
        <w:fldChar w:fldCharType="begin"/>
      </w:r>
      <w:r>
        <w:instrText xml:space="preserve"> PAGEREF _Toc14181 \h </w:instrText>
      </w:r>
      <w:r>
        <w:fldChar w:fldCharType="separate"/>
      </w:r>
      <w:r>
        <w:t>21</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_Toc9669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一、承保服务方案</w:t>
      </w:r>
      <w:r>
        <w:tab/>
      </w:r>
      <w:r>
        <w:fldChar w:fldCharType="begin"/>
      </w:r>
      <w:r>
        <w:instrText xml:space="preserve"> PAGEREF _Toc9669 \h </w:instrText>
      </w:r>
      <w:r>
        <w:fldChar w:fldCharType="separate"/>
      </w:r>
      <w:r>
        <w:t>21</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_Toc29917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二、理赔服务方案</w:t>
      </w:r>
      <w:r>
        <w:tab/>
      </w:r>
      <w:r>
        <w:fldChar w:fldCharType="begin"/>
      </w:r>
      <w:r>
        <w:instrText xml:space="preserve"> PAGEREF _Toc29917 \h </w:instrText>
      </w:r>
      <w:r>
        <w:fldChar w:fldCharType="separate"/>
      </w:r>
      <w:r>
        <w:t>21</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_Toc30489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三、风险管理服务方案</w:t>
      </w:r>
      <w:r>
        <w:tab/>
      </w:r>
      <w:r>
        <w:fldChar w:fldCharType="begin"/>
      </w:r>
      <w:r>
        <w:instrText xml:space="preserve"> PAGEREF _Toc30489 \h </w:instrText>
      </w:r>
      <w:r>
        <w:fldChar w:fldCharType="separate"/>
      </w:r>
      <w:r>
        <w:t>21</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_Toc10060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四、应急预案</w:t>
      </w:r>
      <w:r>
        <w:tab/>
      </w:r>
      <w:r>
        <w:fldChar w:fldCharType="begin"/>
      </w:r>
      <w:r>
        <w:instrText xml:space="preserve"> PAGEREF _Toc10060 \h </w:instrText>
      </w:r>
      <w:r>
        <w:fldChar w:fldCharType="separate"/>
      </w:r>
      <w:r>
        <w:t>21</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_Toc8619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五、本项目服务团队配置</w:t>
      </w:r>
      <w:r>
        <w:tab/>
      </w:r>
      <w:r>
        <w:fldChar w:fldCharType="begin"/>
      </w:r>
      <w:r>
        <w:instrText xml:space="preserve"> PAGEREF _Toc8619 \h </w:instrText>
      </w:r>
      <w:r>
        <w:fldChar w:fldCharType="separate"/>
      </w:r>
      <w:r>
        <w:t>21</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_Toc17049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六、售后服务方案</w:t>
      </w:r>
      <w:r>
        <w:tab/>
      </w:r>
      <w:r>
        <w:fldChar w:fldCharType="begin"/>
      </w:r>
      <w:r>
        <w:instrText xml:space="preserve"> PAGEREF _Toc17049 \h </w:instrText>
      </w:r>
      <w:r>
        <w:fldChar w:fldCharType="separate"/>
      </w:r>
      <w:r>
        <w:t>21</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_Toc23778 </w:instrText>
      </w:r>
      <w:r>
        <w:rPr>
          <w:rFonts w:hint="eastAsia" w:ascii="仿宋" w:hAnsi="仿宋" w:eastAsia="仿宋" w:cs="仿宋"/>
          <w:szCs w:val="32"/>
          <w:highlight w:val="none"/>
        </w:rPr>
        <w:fldChar w:fldCharType="separate"/>
      </w:r>
      <w:r>
        <w:rPr>
          <w:rFonts w:hint="eastAsia" w:ascii="仿宋" w:hAnsi="仿宋" w:eastAsia="仿宋" w:cs="仿宋"/>
          <w:bCs/>
          <w:szCs w:val="28"/>
          <w:lang w:val="en-US" w:eastAsia="zh-CN"/>
        </w:rPr>
        <w:t xml:space="preserve">七、 </w:t>
      </w:r>
      <w:r>
        <w:rPr>
          <w:rFonts w:hint="eastAsia" w:ascii="仿宋" w:hAnsi="仿宋" w:eastAsia="仿宋" w:cs="仿宋"/>
          <w:bCs/>
          <w:szCs w:val="28"/>
          <w:highlight w:val="none"/>
          <w:lang w:val="en-US" w:eastAsia="zh-CN"/>
        </w:rPr>
        <w:t>投标人具备互联网安全管理服务平台</w:t>
      </w:r>
      <w:r>
        <w:tab/>
      </w:r>
      <w:r>
        <w:fldChar w:fldCharType="begin"/>
      </w:r>
      <w:r>
        <w:instrText xml:space="preserve"> PAGEREF _Toc23778 \h </w:instrText>
      </w:r>
      <w:r>
        <w:fldChar w:fldCharType="separate"/>
      </w:r>
      <w:r>
        <w:t>21</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_Toc20285 </w:instrText>
      </w:r>
      <w:r>
        <w:rPr>
          <w:rFonts w:hint="eastAsia" w:ascii="仿宋" w:hAnsi="仿宋" w:eastAsia="仿宋" w:cs="仿宋"/>
          <w:szCs w:val="32"/>
          <w:highlight w:val="none"/>
        </w:rPr>
        <w:fldChar w:fldCharType="separate"/>
      </w:r>
      <w:r>
        <w:rPr>
          <w:rFonts w:hint="eastAsia" w:ascii="仿宋" w:hAnsi="仿宋" w:eastAsia="仿宋" w:cs="仿宋"/>
          <w:bCs/>
          <w:szCs w:val="28"/>
          <w:lang w:val="en-US" w:eastAsia="zh-CN"/>
        </w:rPr>
        <w:t xml:space="preserve">八、 </w:t>
      </w:r>
      <w:r>
        <w:rPr>
          <w:rFonts w:hint="default" w:ascii="仿宋" w:hAnsi="仿宋" w:eastAsia="仿宋" w:cs="仿宋"/>
          <w:bCs/>
          <w:szCs w:val="28"/>
          <w:highlight w:val="none"/>
          <w:lang w:val="en-US" w:eastAsia="zh-CN"/>
        </w:rPr>
        <w:t>类似业绩</w:t>
      </w:r>
      <w:r>
        <w:tab/>
      </w:r>
      <w:r>
        <w:fldChar w:fldCharType="begin"/>
      </w:r>
      <w:r>
        <w:instrText xml:space="preserve"> PAGEREF _Toc20285 \h </w:instrText>
      </w:r>
      <w:r>
        <w:fldChar w:fldCharType="separate"/>
      </w:r>
      <w:r>
        <w:t>21</w:t>
      </w:r>
      <w:r>
        <w:fldChar w:fldCharType="end"/>
      </w:r>
      <w:r>
        <w:rPr>
          <w:rFonts w:hint="eastAsia" w:ascii="仿宋" w:hAnsi="仿宋" w:eastAsia="仿宋" w:cs="仿宋"/>
          <w:color w:val="auto"/>
          <w:szCs w:val="32"/>
          <w:highlight w:val="none"/>
        </w:rPr>
        <w:fldChar w:fldCharType="end"/>
      </w:r>
    </w:p>
    <w:p>
      <w:pPr>
        <w:pStyle w:val="19"/>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_Toc19259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九、投标人认为须提供的其他技术文件，格式自拟。</w:t>
      </w:r>
      <w:r>
        <w:tab/>
      </w:r>
      <w:r>
        <w:fldChar w:fldCharType="begin"/>
      </w:r>
      <w:r>
        <w:instrText xml:space="preserve"> PAGEREF _Toc19259 \h </w:instrText>
      </w:r>
      <w:r>
        <w:fldChar w:fldCharType="separate"/>
      </w:r>
      <w:r>
        <w:t>21</w:t>
      </w:r>
      <w:r>
        <w:fldChar w:fldCharType="end"/>
      </w:r>
      <w:r>
        <w:rPr>
          <w:rFonts w:hint="eastAsia" w:ascii="仿宋" w:hAnsi="仿宋" w:eastAsia="仿宋" w:cs="仿宋"/>
          <w:color w:val="auto"/>
          <w:szCs w:val="32"/>
          <w:highlight w:val="none"/>
        </w:rPr>
        <w:fldChar w:fldCharType="end"/>
      </w:r>
    </w:p>
    <w:p>
      <w:pPr>
        <w:pStyle w:val="27"/>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_Toc23045 </w:instrText>
      </w:r>
      <w:r>
        <w:rPr>
          <w:rFonts w:hint="eastAsia" w:ascii="仿宋" w:hAnsi="仿宋" w:eastAsia="仿宋" w:cs="仿宋"/>
          <w:szCs w:val="32"/>
          <w:highlight w:val="none"/>
        </w:rPr>
        <w:fldChar w:fldCharType="separate"/>
      </w:r>
      <w:r>
        <w:rPr>
          <w:rFonts w:hint="eastAsia" w:ascii="仿宋" w:hAnsi="仿宋" w:eastAsia="仿宋" w:cs="仿宋"/>
          <w:bCs/>
          <w:kern w:val="0"/>
          <w:szCs w:val="32"/>
          <w:highlight w:val="none"/>
          <w:lang w:val="en-US" w:eastAsia="zh-CN" w:bidi="ar-SA"/>
        </w:rPr>
        <w:t>第四章</w:t>
      </w:r>
      <w:r>
        <w:rPr>
          <w:rFonts w:hint="eastAsia" w:ascii="仿宋" w:hAnsi="仿宋" w:eastAsia="仿宋" w:cs="仿宋"/>
          <w:szCs w:val="32"/>
          <w:highlight w:val="none"/>
        </w:rPr>
        <w:t xml:space="preserve"> 项目需求</w:t>
      </w:r>
      <w:r>
        <w:tab/>
      </w:r>
      <w:r>
        <w:fldChar w:fldCharType="begin"/>
      </w:r>
      <w:r>
        <w:instrText xml:space="preserve"> PAGEREF _Toc23045 \h </w:instrText>
      </w:r>
      <w:r>
        <w:fldChar w:fldCharType="separate"/>
      </w:r>
      <w:r>
        <w:t>22</w:t>
      </w:r>
      <w:r>
        <w:fldChar w:fldCharType="end"/>
      </w:r>
      <w:r>
        <w:rPr>
          <w:rFonts w:hint="eastAsia" w:ascii="仿宋" w:hAnsi="仿宋" w:eastAsia="仿宋" w:cs="仿宋"/>
          <w:color w:val="auto"/>
          <w:szCs w:val="32"/>
          <w:highlight w:val="none"/>
        </w:rPr>
        <w:fldChar w:fldCharType="end"/>
      </w:r>
    </w:p>
    <w:p>
      <w:pPr>
        <w:pStyle w:val="27"/>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_Toc29063 </w:instrText>
      </w:r>
      <w:r>
        <w:rPr>
          <w:rFonts w:hint="eastAsia" w:ascii="仿宋" w:hAnsi="仿宋" w:eastAsia="仿宋" w:cs="仿宋"/>
          <w:szCs w:val="32"/>
          <w:highlight w:val="none"/>
        </w:rPr>
        <w:fldChar w:fldCharType="separate"/>
      </w:r>
      <w:r>
        <w:rPr>
          <w:rFonts w:hint="eastAsia" w:ascii="仿宋" w:hAnsi="仿宋" w:eastAsia="仿宋" w:cs="仿宋"/>
          <w:bCs/>
          <w:kern w:val="0"/>
          <w:szCs w:val="32"/>
          <w:highlight w:val="none"/>
          <w:lang w:val="en-US" w:eastAsia="zh-CN" w:bidi="ar-SA"/>
        </w:rPr>
        <w:t>第五章</w:t>
      </w:r>
      <w:r>
        <w:rPr>
          <w:rFonts w:hint="eastAsia" w:ascii="仿宋" w:hAnsi="仿宋" w:eastAsia="仿宋" w:cs="仿宋"/>
          <w:szCs w:val="32"/>
          <w:highlight w:val="none"/>
        </w:rPr>
        <w:t xml:space="preserve"> 评审办法</w:t>
      </w:r>
      <w:r>
        <w:tab/>
      </w:r>
      <w:r>
        <w:fldChar w:fldCharType="begin"/>
      </w:r>
      <w:r>
        <w:instrText xml:space="preserve"> PAGEREF _Toc29063 \h </w:instrText>
      </w:r>
      <w:r>
        <w:fldChar w:fldCharType="separate"/>
      </w:r>
      <w:r>
        <w:t>27</w:t>
      </w:r>
      <w:r>
        <w:fldChar w:fldCharType="end"/>
      </w:r>
      <w:r>
        <w:rPr>
          <w:rFonts w:hint="eastAsia" w:ascii="仿宋" w:hAnsi="仿宋" w:eastAsia="仿宋" w:cs="仿宋"/>
          <w:color w:val="auto"/>
          <w:szCs w:val="32"/>
          <w:highlight w:val="none"/>
        </w:rPr>
        <w:fldChar w:fldCharType="end"/>
      </w:r>
    </w:p>
    <w:p>
      <w:pPr>
        <w:pStyle w:val="31"/>
        <w:tabs>
          <w:tab w:val="right" w:leader="dot" w:pos="9525"/>
        </w:tabs>
        <w:spacing w:line="600" w:lineRule="exact"/>
        <w:rPr>
          <w:rFonts w:hint="eastAsia" w:ascii="仿宋" w:hAnsi="仿宋" w:eastAsia="仿宋" w:cs="仿宋"/>
          <w:color w:val="auto"/>
          <w:sz w:val="24"/>
          <w:szCs w:val="32"/>
          <w:highlight w:val="none"/>
        </w:rPr>
      </w:pPr>
      <w:r>
        <w:rPr>
          <w:rFonts w:hint="eastAsia" w:ascii="仿宋" w:hAnsi="仿宋" w:eastAsia="仿宋" w:cs="仿宋"/>
          <w:color w:val="auto"/>
          <w:szCs w:val="32"/>
          <w:highlight w:val="none"/>
        </w:rPr>
        <w:fldChar w:fldCharType="end"/>
      </w:r>
    </w:p>
    <w:p>
      <w:pPr>
        <w:pStyle w:val="2"/>
        <w:numPr>
          <w:ilvl w:val="0"/>
          <w:numId w:val="0"/>
        </w:numPr>
        <w:spacing w:line="500" w:lineRule="exact"/>
        <w:jc w:val="center"/>
        <w:rPr>
          <w:rFonts w:hint="eastAsia" w:ascii="仿宋" w:hAnsi="仿宋" w:eastAsia="仿宋" w:cs="仿宋"/>
          <w:color w:val="auto"/>
          <w:sz w:val="32"/>
          <w:highlight w:val="none"/>
        </w:rPr>
        <w:sectPr>
          <w:headerReference r:id="rId4" w:type="default"/>
          <w:footerReference r:id="rId5" w:type="default"/>
          <w:pgSz w:w="11906" w:h="16838"/>
          <w:pgMar w:top="1247" w:right="1134" w:bottom="1134" w:left="1247" w:header="510" w:footer="680" w:gutter="0"/>
          <w:pgNumType w:start="1"/>
          <w:cols w:space="720" w:num="1"/>
          <w:docGrid w:type="lines" w:linePitch="312" w:charSpace="0"/>
        </w:sectPr>
      </w:pPr>
      <w:bookmarkStart w:id="19" w:name="_Toc15231"/>
      <w:bookmarkStart w:id="20" w:name="_Toc23103"/>
      <w:bookmarkStart w:id="21" w:name="_Toc17089"/>
      <w:bookmarkStart w:id="22" w:name="_Toc26287"/>
      <w:bookmarkStart w:id="23" w:name="_Toc18344"/>
    </w:p>
    <w:p>
      <w:pPr>
        <w:pStyle w:val="2"/>
        <w:numPr>
          <w:ilvl w:val="0"/>
          <w:numId w:val="0"/>
        </w:numPr>
        <w:spacing w:line="600" w:lineRule="exact"/>
        <w:jc w:val="center"/>
        <w:rPr>
          <w:rFonts w:hint="eastAsia" w:ascii="仿宋" w:hAnsi="仿宋" w:eastAsia="仿宋" w:cs="仿宋"/>
          <w:color w:val="auto"/>
          <w:sz w:val="52"/>
          <w:szCs w:val="32"/>
          <w:highlight w:val="none"/>
        </w:rPr>
      </w:pPr>
      <w:bookmarkStart w:id="24" w:name="_Toc29962"/>
      <w:bookmarkStart w:id="25" w:name="_Toc23818"/>
      <w:r>
        <w:rPr>
          <w:rFonts w:hint="eastAsia" w:ascii="仿宋" w:hAnsi="仿宋" w:eastAsia="仿宋" w:cs="仿宋"/>
          <w:color w:val="auto"/>
          <w:sz w:val="52"/>
          <w:szCs w:val="32"/>
          <w:highlight w:val="none"/>
        </w:rPr>
        <w:t xml:space="preserve">第一章  </w:t>
      </w:r>
      <w:r>
        <w:rPr>
          <w:rFonts w:hint="eastAsia" w:ascii="仿宋" w:hAnsi="仿宋" w:eastAsia="仿宋" w:cs="仿宋"/>
          <w:color w:val="auto"/>
          <w:sz w:val="52"/>
          <w:szCs w:val="32"/>
          <w:highlight w:val="none"/>
          <w:lang w:val="en-US" w:eastAsia="zh-CN"/>
        </w:rPr>
        <w:t>竞争性</w:t>
      </w:r>
      <w:r>
        <w:rPr>
          <w:rFonts w:hint="eastAsia" w:ascii="仿宋" w:hAnsi="仿宋" w:eastAsia="仿宋" w:cs="仿宋"/>
          <w:color w:val="auto"/>
          <w:sz w:val="52"/>
          <w:szCs w:val="32"/>
          <w:highlight w:val="none"/>
        </w:rPr>
        <w:t>比选公告</w:t>
      </w:r>
      <w:bookmarkEnd w:id="19"/>
      <w:bookmarkEnd w:id="20"/>
      <w:bookmarkEnd w:id="21"/>
      <w:bookmarkEnd w:id="22"/>
      <w:bookmarkEnd w:id="23"/>
      <w:bookmarkEnd w:id="24"/>
      <w:bookmarkEnd w:id="25"/>
    </w:p>
    <w:p>
      <w:pPr>
        <w:spacing w:line="500" w:lineRule="atLeast"/>
        <w:jc w:val="center"/>
        <w:rPr>
          <w:rFonts w:hint="eastAsia" w:ascii="仿宋" w:hAnsi="仿宋" w:eastAsia="仿宋" w:cs="仿宋"/>
          <w:color w:val="auto"/>
          <w:sz w:val="32"/>
          <w:szCs w:val="32"/>
          <w:highlight w:val="none"/>
        </w:rPr>
      </w:pPr>
      <w:r>
        <w:rPr>
          <w:rFonts w:hint="eastAsia" w:ascii="仿宋" w:hAnsi="仿宋" w:eastAsia="仿宋" w:cs="仿宋"/>
          <w:b/>
          <w:color w:val="auto"/>
          <w:sz w:val="36"/>
          <w:szCs w:val="36"/>
          <w:highlight w:val="none"/>
          <w:lang w:eastAsia="zh-CN"/>
        </w:rPr>
        <w:t xml:space="preserve"> </w:t>
      </w:r>
      <w:r>
        <w:rPr>
          <w:rFonts w:hint="eastAsia" w:ascii="仿宋" w:hAnsi="仿宋" w:eastAsia="仿宋" w:cs="仿宋"/>
          <w:b/>
          <w:color w:val="auto"/>
          <w:sz w:val="36"/>
          <w:szCs w:val="36"/>
          <w:highlight w:val="none"/>
        </w:rPr>
        <w:t xml:space="preserve"> </w:t>
      </w:r>
      <w:r>
        <w:rPr>
          <w:rFonts w:hint="eastAsia" w:ascii="仿宋" w:hAnsi="仿宋" w:eastAsia="仿宋" w:cs="仿宋"/>
          <w:b/>
          <w:color w:val="auto"/>
          <w:kern w:val="0"/>
          <w:sz w:val="36"/>
          <w:szCs w:val="36"/>
          <w:highlight w:val="none"/>
          <w:lang w:eastAsia="zh-CN"/>
        </w:rPr>
        <w:t xml:space="preserve"> 云南师范大学世纪金源学校</w:t>
      </w:r>
      <w:r>
        <w:rPr>
          <w:rFonts w:hint="eastAsia" w:ascii="仿宋" w:hAnsi="仿宋" w:eastAsia="仿宋" w:cs="仿宋"/>
          <w:b/>
          <w:color w:val="auto"/>
          <w:kern w:val="0"/>
          <w:sz w:val="36"/>
          <w:szCs w:val="36"/>
          <w:highlight w:val="none"/>
          <w:lang w:val="en-US" w:eastAsia="zh-CN"/>
        </w:rPr>
        <w:t>校方综合防范保险项目竞争性</w:t>
      </w:r>
      <w:r>
        <w:rPr>
          <w:rFonts w:hint="eastAsia" w:ascii="仿宋" w:hAnsi="仿宋" w:eastAsia="仿宋" w:cs="仿宋"/>
          <w:b/>
          <w:color w:val="auto"/>
          <w:kern w:val="0"/>
          <w:sz w:val="36"/>
          <w:szCs w:val="36"/>
          <w:highlight w:val="none"/>
        </w:rPr>
        <w:t>比选公告</w:t>
      </w:r>
    </w:p>
    <w:p>
      <w:pPr>
        <w:pBdr>
          <w:top w:val="single" w:color="auto" w:sz="4" w:space="1"/>
          <w:left w:val="single" w:color="auto" w:sz="4" w:space="4"/>
          <w:bottom w:val="single" w:color="auto" w:sz="4" w:space="1"/>
          <w:right w:val="single" w:color="auto" w:sz="4" w:space="4"/>
        </w:pBdr>
        <w:spacing w:line="500" w:lineRule="atLeast"/>
        <w:ind w:firstLine="440" w:firstLineChars="200"/>
        <w:rPr>
          <w:rFonts w:hint="eastAsia" w:ascii="仿宋" w:hAnsi="仿宋" w:eastAsia="仿宋" w:cs="仿宋"/>
          <w:color w:val="auto"/>
          <w:sz w:val="22"/>
          <w:szCs w:val="22"/>
          <w:highlight w:val="none"/>
        </w:rPr>
      </w:pPr>
      <w:bookmarkStart w:id="26" w:name="_Toc6017"/>
      <w:bookmarkStart w:id="27" w:name="_Toc32571"/>
      <w:bookmarkStart w:id="28" w:name="_Toc12681"/>
      <w:bookmarkStart w:id="29" w:name="_Toc25116"/>
      <w:bookmarkStart w:id="30" w:name="_Toc24954"/>
      <w:bookmarkStart w:id="31" w:name="_Toc7901"/>
      <w:r>
        <w:rPr>
          <w:rFonts w:hint="eastAsia" w:ascii="仿宋" w:hAnsi="仿宋" w:eastAsia="仿宋" w:cs="仿宋"/>
          <w:color w:val="auto"/>
          <w:sz w:val="22"/>
          <w:szCs w:val="22"/>
          <w:highlight w:val="none"/>
        </w:rPr>
        <w:t>项目概况</w:t>
      </w:r>
    </w:p>
    <w:p>
      <w:pPr>
        <w:pBdr>
          <w:top w:val="single" w:color="auto" w:sz="4" w:space="1"/>
          <w:left w:val="single" w:color="auto" w:sz="4" w:space="4"/>
          <w:bottom w:val="single" w:color="auto" w:sz="4" w:space="1"/>
          <w:right w:val="single" w:color="auto" w:sz="4" w:space="4"/>
        </w:pBdr>
        <w:spacing w:line="500" w:lineRule="atLeast"/>
        <w:ind w:firstLine="440" w:firstLineChars="200"/>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u w:val="single"/>
          <w:lang w:eastAsia="zh-CN"/>
        </w:rPr>
        <w:t>云南师范大学世纪金源学校校方综合防范保险项目</w:t>
      </w:r>
      <w:r>
        <w:rPr>
          <w:rFonts w:hint="eastAsia" w:ascii="仿宋" w:hAnsi="仿宋" w:eastAsia="仿宋" w:cs="仿宋"/>
          <w:color w:val="auto"/>
          <w:sz w:val="22"/>
          <w:szCs w:val="22"/>
          <w:highlight w:val="none"/>
        </w:rPr>
        <w:t>的潜在投标人应在</w:t>
      </w:r>
      <w:r>
        <w:rPr>
          <w:rFonts w:hint="eastAsia" w:ascii="仿宋" w:hAnsi="仿宋" w:eastAsia="仿宋" w:cs="仿宋"/>
          <w:color w:val="auto"/>
          <w:sz w:val="22"/>
          <w:szCs w:val="22"/>
          <w:highlight w:val="none"/>
          <w:u w:val="single"/>
        </w:rPr>
        <w:t>云南师范大学附属世纪金源学校（昆明市广福路3678号）</w:t>
      </w:r>
      <w:r>
        <w:rPr>
          <w:rFonts w:hint="eastAsia" w:ascii="仿宋" w:hAnsi="仿宋" w:eastAsia="仿宋" w:cs="仿宋"/>
          <w:color w:val="auto"/>
          <w:kern w:val="0"/>
          <w:sz w:val="24"/>
          <w:highlight w:val="none"/>
          <w:lang w:val="en-US" w:eastAsia="zh-CN"/>
        </w:rPr>
        <w:t>官网</w:t>
      </w:r>
      <w:r>
        <w:rPr>
          <w:rFonts w:hint="eastAsia" w:ascii="仿宋" w:hAnsi="仿宋" w:eastAsia="仿宋" w:cs="仿宋"/>
          <w:color w:val="auto"/>
          <w:spacing w:val="0"/>
          <w:sz w:val="24"/>
          <w:highlight w:val="none"/>
        </w:rPr>
        <w:t>（https://www.ysdsjjy.com/sjjycms/front/index）</w:t>
      </w:r>
      <w:r>
        <w:rPr>
          <w:rFonts w:hint="eastAsia" w:ascii="仿宋" w:hAnsi="仿宋" w:eastAsia="仿宋" w:cs="仿宋"/>
          <w:color w:val="auto"/>
          <w:sz w:val="22"/>
          <w:szCs w:val="22"/>
          <w:highlight w:val="none"/>
          <w:lang w:val="en-US" w:eastAsia="zh-CN"/>
        </w:rPr>
        <w:t>上</w:t>
      </w:r>
      <w:r>
        <w:rPr>
          <w:rFonts w:hint="eastAsia" w:ascii="仿宋" w:hAnsi="仿宋" w:eastAsia="仿宋" w:cs="仿宋"/>
          <w:color w:val="auto"/>
          <w:sz w:val="22"/>
          <w:szCs w:val="22"/>
          <w:highlight w:val="none"/>
        </w:rPr>
        <w:t>获取</w:t>
      </w:r>
      <w:r>
        <w:rPr>
          <w:rFonts w:hint="eastAsia" w:ascii="仿宋" w:hAnsi="仿宋" w:eastAsia="仿宋" w:cs="仿宋"/>
          <w:color w:val="auto"/>
          <w:sz w:val="22"/>
          <w:szCs w:val="22"/>
          <w:highlight w:val="none"/>
          <w:lang w:val="en-US" w:eastAsia="zh-CN"/>
        </w:rPr>
        <w:t>比选</w:t>
      </w:r>
      <w:r>
        <w:rPr>
          <w:rFonts w:hint="eastAsia" w:ascii="仿宋" w:hAnsi="仿宋" w:eastAsia="仿宋" w:cs="仿宋"/>
          <w:color w:val="auto"/>
          <w:sz w:val="22"/>
          <w:szCs w:val="22"/>
          <w:highlight w:val="none"/>
        </w:rPr>
        <w:t>文件，并于</w:t>
      </w:r>
      <w:r>
        <w:rPr>
          <w:rFonts w:hint="eastAsia" w:ascii="仿宋" w:hAnsi="仿宋" w:eastAsia="仿宋" w:cs="仿宋"/>
          <w:color w:val="auto"/>
          <w:sz w:val="22"/>
          <w:szCs w:val="22"/>
          <w:highlight w:val="none"/>
          <w:u w:val="single"/>
          <w:lang w:eastAsia="zh-CN"/>
        </w:rPr>
        <w:t>2024年8月27日14点30分</w:t>
      </w:r>
      <w:r>
        <w:rPr>
          <w:rFonts w:hint="eastAsia" w:ascii="仿宋" w:hAnsi="仿宋" w:eastAsia="仿宋" w:cs="仿宋"/>
          <w:bCs/>
          <w:color w:val="auto"/>
          <w:sz w:val="22"/>
          <w:szCs w:val="22"/>
          <w:highlight w:val="none"/>
        </w:rPr>
        <w:t>（北京时间）前提交响应文件</w:t>
      </w:r>
      <w:r>
        <w:rPr>
          <w:rFonts w:hint="eastAsia" w:ascii="仿宋" w:hAnsi="仿宋" w:eastAsia="仿宋" w:cs="仿宋"/>
          <w:color w:val="auto"/>
          <w:sz w:val="22"/>
          <w:szCs w:val="22"/>
          <w:highlight w:val="none"/>
        </w:rPr>
        <w:t>。</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2" w:name="_Toc32558"/>
      <w:r>
        <w:rPr>
          <w:rFonts w:hint="eastAsia" w:ascii="仿宋" w:hAnsi="仿宋" w:eastAsia="仿宋" w:cs="仿宋"/>
          <w:bCs/>
          <w:color w:val="auto"/>
          <w:sz w:val="24"/>
          <w:highlight w:val="none"/>
        </w:rPr>
        <w:t>一、项目基本情况</w:t>
      </w:r>
      <w:bookmarkEnd w:id="32"/>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rPr>
        <w:t>.项目名称：</w:t>
      </w:r>
      <w:r>
        <w:rPr>
          <w:rFonts w:hint="eastAsia" w:ascii="仿宋" w:hAnsi="仿宋" w:eastAsia="仿宋" w:cs="仿宋"/>
          <w:color w:val="auto"/>
          <w:sz w:val="24"/>
          <w:highlight w:val="none"/>
          <w:lang w:eastAsia="zh-CN"/>
        </w:rPr>
        <w:t>云南师范大学世纪金源学校校方综合防范保险项目</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2</w:t>
      </w: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招标</w:t>
      </w:r>
      <w:r>
        <w:rPr>
          <w:rFonts w:hint="eastAsia" w:ascii="仿宋" w:hAnsi="仿宋" w:eastAsia="仿宋" w:cs="仿宋"/>
          <w:color w:val="auto"/>
          <w:sz w:val="24"/>
          <w:highlight w:val="none"/>
        </w:rPr>
        <w:t>方式：</w:t>
      </w:r>
      <w:r>
        <w:rPr>
          <w:rFonts w:hint="eastAsia" w:ascii="仿宋" w:hAnsi="仿宋" w:eastAsia="仿宋" w:cs="仿宋"/>
          <w:color w:val="auto"/>
          <w:sz w:val="24"/>
          <w:highlight w:val="none"/>
          <w:lang w:val="en-US" w:eastAsia="zh-CN"/>
        </w:rPr>
        <w:t>竞争性</w:t>
      </w:r>
      <w:r>
        <w:rPr>
          <w:rFonts w:hint="eastAsia" w:ascii="仿宋" w:hAnsi="仿宋" w:eastAsia="仿宋" w:cs="仿宋"/>
          <w:color w:val="auto"/>
          <w:sz w:val="24"/>
          <w:highlight w:val="none"/>
        </w:rPr>
        <w:t>比选；</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.预算金额：</w:t>
      </w:r>
      <w:r>
        <w:rPr>
          <w:rFonts w:hint="eastAsia" w:ascii="仿宋" w:hAnsi="仿宋" w:eastAsia="仿宋" w:cs="仿宋"/>
          <w:color w:val="auto"/>
          <w:sz w:val="24"/>
          <w:highlight w:val="none"/>
          <w:lang w:eastAsia="zh-CN"/>
        </w:rPr>
        <w:t>30元/生/年</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4</w:t>
      </w:r>
      <w:r>
        <w:rPr>
          <w:rFonts w:hint="eastAsia" w:ascii="仿宋" w:hAnsi="仿宋" w:eastAsia="仿宋" w:cs="仿宋"/>
          <w:color w:val="auto"/>
          <w:sz w:val="24"/>
          <w:highlight w:val="none"/>
        </w:rPr>
        <w:t>.最高限价：</w:t>
      </w:r>
      <w:r>
        <w:rPr>
          <w:rFonts w:hint="eastAsia" w:ascii="仿宋" w:hAnsi="仿宋" w:eastAsia="仿宋" w:cs="仿宋"/>
          <w:color w:val="auto"/>
          <w:sz w:val="24"/>
          <w:highlight w:val="none"/>
          <w:lang w:eastAsia="zh-CN"/>
        </w:rPr>
        <w:t>30元/生/年</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5</w:t>
      </w:r>
      <w:r>
        <w:rPr>
          <w:rFonts w:hint="eastAsia" w:ascii="仿宋" w:hAnsi="仿宋" w:eastAsia="仿宋" w:cs="仿宋"/>
          <w:color w:val="auto"/>
          <w:sz w:val="24"/>
          <w:highlight w:val="none"/>
        </w:rPr>
        <w:t>.项目需求：</w:t>
      </w:r>
    </w:p>
    <w:tbl>
      <w:tblPr>
        <w:tblStyle w:val="38"/>
        <w:tblW w:w="82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1177"/>
        <w:gridCol w:w="4613"/>
        <w:gridCol w:w="24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8" w:hRule="atLeast"/>
          <w:jc w:val="center"/>
        </w:trPr>
        <w:tc>
          <w:tcPr>
            <w:tcW w:w="1177" w:type="dxa"/>
            <w:noWrap w:val="0"/>
            <w:tcMar>
              <w:top w:w="0" w:type="dxa"/>
              <w:left w:w="108" w:type="dxa"/>
              <w:bottom w:w="0" w:type="dxa"/>
              <w:right w:w="108" w:type="dxa"/>
            </w:tcMar>
            <w:vAlign w:val="top"/>
          </w:tcPr>
          <w:p>
            <w:pPr>
              <w:spacing w:line="500" w:lineRule="atLeast"/>
              <w:ind w:firstLine="480" w:firstLineChars="200"/>
              <w:jc w:val="both"/>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序号</w:t>
            </w:r>
          </w:p>
        </w:tc>
        <w:tc>
          <w:tcPr>
            <w:tcW w:w="4613" w:type="dxa"/>
            <w:noWrap w:val="0"/>
            <w:tcMar>
              <w:top w:w="0" w:type="dxa"/>
              <w:left w:w="108" w:type="dxa"/>
              <w:bottom w:w="0" w:type="dxa"/>
              <w:right w:w="108" w:type="dxa"/>
            </w:tcMar>
            <w:vAlign w:val="top"/>
          </w:tcPr>
          <w:p>
            <w:pPr>
              <w:spacing w:line="500" w:lineRule="atLeast"/>
              <w:ind w:firstLine="480" w:firstLineChars="200"/>
              <w:jc w:val="both"/>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产品（项目）名称</w:t>
            </w:r>
          </w:p>
        </w:tc>
        <w:tc>
          <w:tcPr>
            <w:tcW w:w="2468" w:type="dxa"/>
            <w:noWrap w:val="0"/>
            <w:tcMar>
              <w:top w:w="0" w:type="dxa"/>
              <w:left w:w="108" w:type="dxa"/>
              <w:bottom w:w="0" w:type="dxa"/>
              <w:right w:w="108" w:type="dxa"/>
            </w:tcMar>
            <w:vAlign w:val="top"/>
          </w:tcPr>
          <w:p>
            <w:pPr>
              <w:spacing w:line="500" w:lineRule="atLeast"/>
              <w:ind w:firstLine="480" w:firstLineChars="200"/>
              <w:jc w:val="both"/>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68" w:hRule="atLeast"/>
          <w:jc w:val="center"/>
        </w:trPr>
        <w:tc>
          <w:tcPr>
            <w:tcW w:w="1177" w:type="dxa"/>
            <w:noWrap w:val="0"/>
            <w:tcMar>
              <w:top w:w="0" w:type="dxa"/>
              <w:left w:w="108" w:type="dxa"/>
              <w:bottom w:w="0" w:type="dxa"/>
              <w:right w:w="108" w:type="dxa"/>
            </w:tcMar>
            <w:vAlign w:val="top"/>
          </w:tcPr>
          <w:p>
            <w:pPr>
              <w:spacing w:line="500" w:lineRule="atLeast"/>
              <w:ind w:firstLine="480" w:firstLineChars="200"/>
              <w:jc w:val="both"/>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1</w:t>
            </w:r>
          </w:p>
        </w:tc>
        <w:tc>
          <w:tcPr>
            <w:tcW w:w="4613" w:type="dxa"/>
            <w:noWrap w:val="0"/>
            <w:tcMar>
              <w:top w:w="0" w:type="dxa"/>
              <w:left w:w="108" w:type="dxa"/>
              <w:bottom w:w="0" w:type="dxa"/>
              <w:right w:w="108" w:type="dxa"/>
            </w:tcMar>
            <w:vAlign w:val="top"/>
          </w:tcPr>
          <w:p>
            <w:pPr>
              <w:spacing w:line="500" w:lineRule="atLeast"/>
              <w:jc w:val="both"/>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校方综合防范保障保险（义务、非义务）</w:t>
            </w:r>
          </w:p>
        </w:tc>
        <w:tc>
          <w:tcPr>
            <w:tcW w:w="2468" w:type="dxa"/>
            <w:noWrap w:val="0"/>
            <w:tcMar>
              <w:top w:w="0" w:type="dxa"/>
              <w:left w:w="108" w:type="dxa"/>
              <w:bottom w:w="0" w:type="dxa"/>
              <w:right w:w="108" w:type="dxa"/>
            </w:tcMar>
            <w:vAlign w:val="top"/>
          </w:tcPr>
          <w:p>
            <w:pPr>
              <w:spacing w:line="500" w:lineRule="atLeast"/>
              <w:ind w:firstLine="480" w:firstLineChars="200"/>
              <w:jc w:val="both"/>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约6000人</w:t>
            </w:r>
          </w:p>
        </w:tc>
      </w:tr>
    </w:tbl>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注：</w:t>
      </w:r>
      <w:r>
        <w:rPr>
          <w:rFonts w:hint="eastAsia" w:ascii="仿宋" w:hAnsi="仿宋" w:eastAsia="仿宋" w:cs="仿宋"/>
          <w:color w:val="auto"/>
          <w:sz w:val="24"/>
          <w:highlight w:val="none"/>
          <w:lang w:val="en-US" w:eastAsia="zh-CN"/>
        </w:rPr>
        <w:t>义务教育阶段学生险种包括：校园食品安全责任险、校方无过失责任保险、校方传染病责任保险；非义务教育阶段学生险种包括：校方责任保险、校园食品安全责任险、校方无过失责任保险、校方传染病责任保险（具体采购需求附后）</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6.合同履行期限：以采购人与成交投标人具体签订合同内容为准。</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7.</w:t>
      </w:r>
      <w:r>
        <w:rPr>
          <w:rFonts w:hint="eastAsia" w:ascii="仿宋" w:hAnsi="仿宋" w:eastAsia="仿宋" w:cs="仿宋"/>
          <w:color w:val="auto"/>
          <w:sz w:val="24"/>
          <w:highlight w:val="none"/>
          <w:lang w:val="en-US" w:eastAsia="zh-CN"/>
        </w:rPr>
        <w:t>服务期限</w:t>
      </w: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1年</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8.</w:t>
      </w:r>
      <w:r>
        <w:rPr>
          <w:rFonts w:hint="eastAsia" w:ascii="仿宋" w:hAnsi="仿宋" w:eastAsia="仿宋" w:cs="仿宋"/>
          <w:color w:val="auto"/>
          <w:sz w:val="24"/>
          <w:highlight w:val="none"/>
          <w:lang w:val="en-US" w:eastAsia="zh-CN"/>
        </w:rPr>
        <w:t>服务</w:t>
      </w:r>
      <w:r>
        <w:rPr>
          <w:rFonts w:hint="eastAsia" w:ascii="仿宋" w:hAnsi="仿宋" w:eastAsia="仿宋" w:cs="仿宋"/>
          <w:color w:val="auto"/>
          <w:sz w:val="24"/>
          <w:highlight w:val="none"/>
        </w:rPr>
        <w:t>地点：</w:t>
      </w:r>
      <w:r>
        <w:rPr>
          <w:rFonts w:hint="eastAsia" w:ascii="仿宋" w:hAnsi="仿宋" w:eastAsia="仿宋" w:cs="仿宋"/>
          <w:color w:val="auto"/>
          <w:sz w:val="24"/>
          <w:highlight w:val="none"/>
          <w:lang w:eastAsia="zh-CN"/>
        </w:rPr>
        <w:t>采购人指定地点</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9.本项目不接受联合体比选。</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3" w:name="_Toc16581"/>
      <w:r>
        <w:rPr>
          <w:rFonts w:hint="eastAsia" w:ascii="仿宋" w:hAnsi="仿宋" w:eastAsia="仿宋" w:cs="仿宋"/>
          <w:bCs/>
          <w:color w:val="auto"/>
          <w:sz w:val="24"/>
          <w:highlight w:val="none"/>
        </w:rPr>
        <w:t>二、投标人的资格要求：</w:t>
      </w:r>
      <w:bookmarkEnd w:id="33"/>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1.满足《中华人民共和国政府采购法》第二十二条规定：</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1.1具有独立承担民事责任的能力：</w:t>
      </w:r>
      <w:r>
        <w:rPr>
          <w:rFonts w:hint="eastAsia" w:ascii="仿宋" w:hAnsi="仿宋" w:eastAsia="仿宋" w:cs="仿宋"/>
          <w:color w:val="auto"/>
          <w:sz w:val="24"/>
          <w:highlight w:val="none"/>
          <w:lang w:eastAsia="zh-CN"/>
        </w:rPr>
        <w:t>投标人须在中华人民共和国境内注册，提供市场监督管理部门核发的有效的三证合一营业执照，</w:t>
      </w:r>
      <w:r>
        <w:rPr>
          <w:rFonts w:hint="eastAsia" w:ascii="仿宋" w:hAnsi="仿宋" w:eastAsia="仿宋" w:cs="仿宋"/>
          <w:color w:val="auto"/>
          <w:sz w:val="24"/>
          <w:highlight w:val="none"/>
        </w:rPr>
        <w:t>若为分支机构参与</w:t>
      </w:r>
      <w:r>
        <w:rPr>
          <w:rFonts w:hint="eastAsia" w:ascii="仿宋" w:hAnsi="仿宋" w:eastAsia="仿宋" w:cs="仿宋"/>
          <w:color w:val="auto"/>
          <w:sz w:val="24"/>
          <w:highlight w:val="none"/>
          <w:lang w:eastAsia="zh-CN"/>
        </w:rPr>
        <w:t>投标人</w:t>
      </w:r>
      <w:r>
        <w:rPr>
          <w:rFonts w:hint="eastAsia" w:ascii="仿宋" w:hAnsi="仿宋" w:eastAsia="仿宋" w:cs="仿宋"/>
          <w:color w:val="auto"/>
          <w:sz w:val="24"/>
          <w:highlight w:val="none"/>
        </w:rPr>
        <w:t>，须取得总公司的有效授权</w:t>
      </w:r>
      <w:r>
        <w:rPr>
          <w:rFonts w:hint="eastAsia" w:ascii="仿宋" w:hAnsi="仿宋" w:eastAsia="仿宋" w:cs="仿宋"/>
          <w:color w:val="auto"/>
          <w:sz w:val="24"/>
          <w:highlight w:val="none"/>
          <w:lang w:eastAsia="zh-CN"/>
        </w:rPr>
        <w:t>，且总公司仅允许授权一家分支机构</w:t>
      </w:r>
      <w:r>
        <w:rPr>
          <w:rFonts w:hint="eastAsia" w:ascii="仿宋" w:hAnsi="仿宋" w:eastAsia="仿宋" w:cs="仿宋"/>
          <w:color w:val="auto"/>
          <w:sz w:val="24"/>
          <w:highlight w:val="none"/>
        </w:rPr>
        <w:t>参与</w:t>
      </w:r>
      <w:r>
        <w:rPr>
          <w:rFonts w:hint="eastAsia" w:ascii="仿宋" w:hAnsi="仿宋" w:eastAsia="仿宋" w:cs="仿宋"/>
          <w:color w:val="auto"/>
          <w:sz w:val="24"/>
          <w:highlight w:val="none"/>
          <w:lang w:eastAsia="zh-CN"/>
        </w:rPr>
        <w:t>投标</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1.2具有良好的商业信誉和健全的财务会计制度：</w:t>
      </w:r>
      <w:r>
        <w:rPr>
          <w:rFonts w:hint="eastAsia" w:ascii="仿宋" w:hAnsi="仿宋" w:eastAsia="仿宋" w:cs="仿宋"/>
          <w:color w:val="auto"/>
          <w:sz w:val="24"/>
          <w:highlight w:val="none"/>
          <w:lang w:eastAsia="zh-CN"/>
        </w:rPr>
        <w:t>提供投标人</w:t>
      </w:r>
      <w:r>
        <w:rPr>
          <w:rFonts w:hint="eastAsia" w:ascii="仿宋" w:hAnsi="仿宋" w:eastAsia="仿宋" w:cs="仿宋"/>
          <w:color w:val="auto"/>
          <w:sz w:val="24"/>
          <w:highlight w:val="none"/>
          <w:lang w:val="en-US" w:eastAsia="zh-CN"/>
        </w:rPr>
        <w:t>2023</w:t>
      </w:r>
      <w:r>
        <w:rPr>
          <w:rFonts w:hint="eastAsia" w:ascii="仿宋" w:hAnsi="仿宋" w:eastAsia="仿宋" w:cs="仿宋"/>
          <w:color w:val="auto"/>
          <w:sz w:val="24"/>
          <w:highlight w:val="none"/>
          <w:lang w:eastAsia="zh-CN"/>
        </w:rPr>
        <w:t>年度经第三方审计的财务报告及报表（报表至少应包括资产负债表、利润表（损益表）、现金流量表），或提供自提交响应文件截止时间前三个月内基本开户银行出具的资信证明</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1.3具有履行合同所必需的设备和专业技术能力：</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提供</w:t>
      </w:r>
      <w:r>
        <w:rPr>
          <w:rFonts w:hint="eastAsia" w:ascii="仿宋" w:hAnsi="仿宋" w:eastAsia="仿宋" w:cs="仿宋"/>
          <w:color w:val="auto"/>
          <w:sz w:val="24"/>
          <w:highlight w:val="none"/>
        </w:rPr>
        <w:t>书面声明</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1.4有依法缴纳税收和社会保障资金的良好记录：</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1.4.1提供投标人缴税所属时间在202</w:t>
      </w: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年01月至本项目提交</w:t>
      </w:r>
      <w:r>
        <w:rPr>
          <w:rFonts w:hint="eastAsia" w:ascii="仿宋" w:hAnsi="仿宋" w:eastAsia="仿宋" w:cs="仿宋"/>
          <w:color w:val="auto"/>
          <w:sz w:val="24"/>
          <w:highlight w:val="none"/>
          <w:lang w:eastAsia="zh-CN"/>
        </w:rPr>
        <w:t>响应文件</w:t>
      </w:r>
      <w:r>
        <w:rPr>
          <w:rFonts w:hint="eastAsia" w:ascii="仿宋" w:hAnsi="仿宋" w:eastAsia="仿宋" w:cs="仿宋"/>
          <w:color w:val="auto"/>
          <w:sz w:val="24"/>
          <w:highlight w:val="none"/>
        </w:rPr>
        <w:t>截止时间前</w:t>
      </w:r>
      <w:r>
        <w:rPr>
          <w:rFonts w:hint="eastAsia" w:ascii="仿宋" w:hAnsi="仿宋" w:eastAsia="仿宋" w:cs="仿宋"/>
          <w:color w:val="auto"/>
          <w:sz w:val="24"/>
          <w:highlight w:val="none"/>
          <w:lang w:eastAsia="zh-CN"/>
        </w:rPr>
        <w:t>任意</w:t>
      </w:r>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lang w:eastAsia="zh-CN"/>
        </w:rPr>
        <w:t>个月</w:t>
      </w:r>
      <w:r>
        <w:rPr>
          <w:rFonts w:hint="eastAsia" w:ascii="仿宋" w:hAnsi="仿宋" w:eastAsia="仿宋" w:cs="仿宋"/>
          <w:color w:val="auto"/>
          <w:sz w:val="24"/>
          <w:highlight w:val="none"/>
        </w:rPr>
        <w:t>的税务局税收通用缴款书或银行电子缴税（费）凭证或税务局出具纳税情况的相关证明，依法免税的，应提供依法免税的相关证明文件；</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1.4.2提供投标人缴费所属时间在202</w:t>
      </w: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年01月至本项目提交</w:t>
      </w:r>
      <w:r>
        <w:rPr>
          <w:rFonts w:hint="eastAsia" w:ascii="仿宋" w:hAnsi="仿宋" w:eastAsia="仿宋" w:cs="仿宋"/>
          <w:color w:val="auto"/>
          <w:sz w:val="24"/>
          <w:highlight w:val="none"/>
          <w:lang w:eastAsia="zh-CN"/>
        </w:rPr>
        <w:t>响应文件</w:t>
      </w:r>
      <w:r>
        <w:rPr>
          <w:rFonts w:hint="eastAsia" w:ascii="仿宋" w:hAnsi="仿宋" w:eastAsia="仿宋" w:cs="仿宋"/>
          <w:color w:val="auto"/>
          <w:sz w:val="24"/>
          <w:highlight w:val="none"/>
        </w:rPr>
        <w:t>截止时间前</w:t>
      </w:r>
      <w:r>
        <w:rPr>
          <w:rFonts w:hint="eastAsia" w:ascii="仿宋" w:hAnsi="仿宋" w:eastAsia="仿宋" w:cs="仿宋"/>
          <w:color w:val="auto"/>
          <w:sz w:val="24"/>
          <w:highlight w:val="none"/>
          <w:lang w:eastAsia="zh-CN"/>
        </w:rPr>
        <w:t>任意2个月</w:t>
      </w:r>
      <w:r>
        <w:rPr>
          <w:rFonts w:hint="eastAsia" w:ascii="仿宋" w:hAnsi="仿宋" w:eastAsia="仿宋" w:cs="仿宋"/>
          <w:color w:val="auto"/>
          <w:sz w:val="24"/>
          <w:highlight w:val="none"/>
        </w:rPr>
        <w:t>的社会保险费缴款书或银行电子缴税（费）凭证或社保管理部门出具的有效的缴款证明，依法免缴的，应提供依法免缴的相关证明文件；</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1.5参加政府采购活动前三年内，在经营活动中没有重大违法记录：提供投标人参加政府采购活动前三年内，在经营活动中没有重大违法记录（重大违法记录，是指投标人因违法经营受到刑事处罚或者责令停产停业、吊销许可证或者执照、较大数额罚款等行政处罚）的书面声明；</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1.6法律、行政法规规定的其他条件：</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1.6.1</w:t>
      </w:r>
      <w:r>
        <w:rPr>
          <w:rFonts w:hint="eastAsia" w:ascii="仿宋" w:hAnsi="仿宋" w:eastAsia="仿宋" w:cs="仿宋"/>
          <w:color w:val="auto"/>
          <w:sz w:val="24"/>
          <w:highlight w:val="none"/>
          <w:lang w:eastAsia="zh-CN"/>
        </w:rPr>
        <w:t>投标人</w:t>
      </w:r>
      <w:r>
        <w:rPr>
          <w:rFonts w:hint="eastAsia" w:ascii="仿宋" w:hAnsi="仿宋" w:eastAsia="仿宋" w:cs="仿宋"/>
          <w:color w:val="auto"/>
          <w:sz w:val="24"/>
          <w:highlight w:val="none"/>
        </w:rPr>
        <w:t>在“信用中国”网站（</w:t>
      </w:r>
      <w:r>
        <w:rPr>
          <w:rFonts w:hint="eastAsia" w:ascii="仿宋" w:hAnsi="仿宋" w:eastAsia="仿宋" w:cs="仿宋"/>
          <w:color w:val="auto"/>
          <w:sz w:val="24"/>
          <w:highlight w:val="none"/>
        </w:rPr>
        <w:fldChar w:fldCharType="begin"/>
      </w:r>
      <w:r>
        <w:rPr>
          <w:rFonts w:hint="eastAsia" w:ascii="仿宋" w:hAnsi="仿宋" w:eastAsia="仿宋" w:cs="仿宋"/>
          <w:color w:val="auto"/>
          <w:sz w:val="24"/>
          <w:highlight w:val="none"/>
        </w:rPr>
        <w:instrText xml:space="preserve"> HYPERLINK \t "_blank" </w:instrText>
      </w:r>
      <w:r>
        <w:rPr>
          <w:rFonts w:hint="eastAsia" w:ascii="仿宋" w:hAnsi="仿宋" w:eastAsia="仿宋" w:cs="仿宋"/>
          <w:color w:val="auto"/>
          <w:sz w:val="24"/>
          <w:highlight w:val="none"/>
        </w:rPr>
        <w:fldChar w:fldCharType="separate"/>
      </w:r>
      <w:r>
        <w:rPr>
          <w:rFonts w:hint="eastAsia" w:ascii="仿宋" w:hAnsi="仿宋" w:eastAsia="仿宋" w:cs="仿宋"/>
          <w:color w:val="auto"/>
          <w:sz w:val="24"/>
          <w:highlight w:val="none"/>
        </w:rPr>
        <w:t>www.creditchina.gov.cn）中未被列入严重失信主体名单</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税收违法黑名单、政府采购严重违法失信行为记录名单</w:t>
      </w:r>
      <w:r>
        <w:rPr>
          <w:rFonts w:hint="eastAsia" w:ascii="仿宋" w:hAnsi="仿宋" w:eastAsia="仿宋" w:cs="仿宋"/>
          <w:color w:val="auto"/>
          <w:sz w:val="24"/>
          <w:highlight w:val="none"/>
        </w:rPr>
        <w:fldChar w:fldCharType="end"/>
      </w:r>
      <w:r>
        <w:rPr>
          <w:rFonts w:hint="eastAsia" w:ascii="仿宋" w:hAnsi="仿宋" w:eastAsia="仿宋" w:cs="仿宋"/>
          <w:color w:val="auto"/>
          <w:sz w:val="24"/>
          <w:highlight w:val="none"/>
        </w:rPr>
        <w:t>（被禁止在一定期限内参加采购活动但期限届满的除外）（查询时间为本公告发布之日起至提交</w:t>
      </w:r>
      <w:r>
        <w:rPr>
          <w:rFonts w:hint="eastAsia" w:ascii="仿宋" w:hAnsi="仿宋" w:eastAsia="仿宋" w:cs="仿宋"/>
          <w:color w:val="auto"/>
          <w:sz w:val="24"/>
          <w:highlight w:val="none"/>
          <w:lang w:eastAsia="zh-CN"/>
        </w:rPr>
        <w:t>响应文件</w:t>
      </w:r>
      <w:r>
        <w:rPr>
          <w:rFonts w:hint="eastAsia" w:ascii="仿宋" w:hAnsi="仿宋" w:eastAsia="仿宋" w:cs="仿宋"/>
          <w:color w:val="auto"/>
          <w:sz w:val="24"/>
          <w:highlight w:val="none"/>
        </w:rPr>
        <w:t>截止时间止，查询结果以采购人查询结果为准</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投标人无需再提供</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1.6.2投标人在中国政府采购网（</w:t>
      </w:r>
      <w:r>
        <w:rPr>
          <w:rFonts w:hint="eastAsia" w:ascii="仿宋" w:hAnsi="仿宋" w:eastAsia="仿宋" w:cs="仿宋"/>
          <w:color w:val="auto"/>
          <w:sz w:val="24"/>
          <w:highlight w:val="none"/>
        </w:rPr>
        <w:fldChar w:fldCharType="begin"/>
      </w:r>
      <w:r>
        <w:rPr>
          <w:rFonts w:hint="eastAsia" w:ascii="仿宋" w:hAnsi="仿宋" w:eastAsia="仿宋" w:cs="仿宋"/>
          <w:color w:val="auto"/>
          <w:sz w:val="24"/>
          <w:highlight w:val="none"/>
        </w:rPr>
        <w:instrText xml:space="preserve"> HYPERLINK \t "_blank" </w:instrText>
      </w:r>
      <w:r>
        <w:rPr>
          <w:rFonts w:hint="eastAsia" w:ascii="仿宋" w:hAnsi="仿宋" w:eastAsia="仿宋" w:cs="仿宋"/>
          <w:color w:val="auto"/>
          <w:sz w:val="24"/>
          <w:highlight w:val="none"/>
        </w:rPr>
        <w:fldChar w:fldCharType="separate"/>
      </w:r>
      <w:r>
        <w:rPr>
          <w:rFonts w:hint="eastAsia" w:ascii="仿宋" w:hAnsi="仿宋" w:eastAsia="仿宋" w:cs="仿宋"/>
          <w:color w:val="auto"/>
          <w:sz w:val="24"/>
          <w:highlight w:val="none"/>
        </w:rPr>
        <w:t>www.ccgp.gov.cn）政府采购严重违法失信行为记录名单中未被禁止参加政府采购活动</w:t>
      </w:r>
      <w:r>
        <w:rPr>
          <w:rFonts w:hint="eastAsia" w:ascii="仿宋" w:hAnsi="仿宋" w:eastAsia="仿宋" w:cs="仿宋"/>
          <w:color w:val="auto"/>
          <w:sz w:val="24"/>
          <w:highlight w:val="none"/>
        </w:rPr>
        <w:fldChar w:fldCharType="end"/>
      </w:r>
      <w:r>
        <w:rPr>
          <w:rFonts w:hint="eastAsia" w:ascii="仿宋" w:hAnsi="仿宋" w:eastAsia="仿宋" w:cs="仿宋"/>
          <w:color w:val="auto"/>
          <w:sz w:val="24"/>
          <w:highlight w:val="none"/>
        </w:rPr>
        <w:t>（查询时间为本公告发布之日起至提交</w:t>
      </w:r>
      <w:r>
        <w:rPr>
          <w:rFonts w:hint="eastAsia" w:ascii="仿宋" w:hAnsi="仿宋" w:eastAsia="仿宋" w:cs="仿宋"/>
          <w:color w:val="auto"/>
          <w:sz w:val="24"/>
          <w:highlight w:val="none"/>
          <w:lang w:eastAsia="zh-CN"/>
        </w:rPr>
        <w:t>响应文件</w:t>
      </w:r>
      <w:r>
        <w:rPr>
          <w:rFonts w:hint="eastAsia" w:ascii="仿宋" w:hAnsi="仿宋" w:eastAsia="仿宋" w:cs="仿宋"/>
          <w:color w:val="auto"/>
          <w:sz w:val="24"/>
          <w:highlight w:val="none"/>
        </w:rPr>
        <w:t>截止时间止，查询结果以采购人查询结果为准</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投标人无需再提供</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2.落实政府采购政策需满足的资格要求：无；</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3.本项目的特定资格要求：</w:t>
      </w:r>
    </w:p>
    <w:p>
      <w:pPr>
        <w:spacing w:line="500" w:lineRule="atLeast"/>
        <w:ind w:firstLine="480" w:firstLineChars="200"/>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.1投标人必须是经中国银行保险监督管理委员会（原“中国保险监督管理委员会”）批准，具备有效的《经营保险经纪业务许可证》</w:t>
      </w:r>
      <w:r>
        <w:rPr>
          <w:rFonts w:hint="eastAsia" w:ascii="仿宋" w:hAnsi="仿宋" w:eastAsia="仿宋" w:cs="仿宋"/>
          <w:color w:val="auto"/>
          <w:sz w:val="24"/>
          <w:highlight w:val="none"/>
          <w:lang w:val="en-US" w:eastAsia="zh-CN"/>
        </w:rPr>
        <w:t>或《保险中介许可证》</w:t>
      </w:r>
      <w:r>
        <w:rPr>
          <w:rFonts w:hint="eastAsia" w:ascii="仿宋" w:hAnsi="仿宋" w:eastAsia="仿宋" w:cs="仿宋"/>
          <w:color w:val="auto"/>
          <w:sz w:val="24"/>
          <w:highlight w:val="none"/>
        </w:rPr>
        <w:t>。</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4" w:name="_Toc7531"/>
      <w:r>
        <w:rPr>
          <w:rFonts w:hint="eastAsia" w:ascii="仿宋" w:hAnsi="仿宋" w:eastAsia="仿宋" w:cs="仿宋"/>
          <w:bCs/>
          <w:color w:val="auto"/>
          <w:sz w:val="24"/>
          <w:highlight w:val="none"/>
        </w:rPr>
        <w:t>三、获取比选文件</w:t>
      </w:r>
      <w:bookmarkEnd w:id="34"/>
    </w:p>
    <w:p>
      <w:pPr>
        <w:spacing w:line="500" w:lineRule="atLeast"/>
        <w:ind w:firstLine="480" w:firstLineChars="200"/>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rPr>
        <w:t>.方式：</w:t>
      </w:r>
      <w:r>
        <w:rPr>
          <w:rFonts w:hint="eastAsia" w:ascii="仿宋" w:hAnsi="仿宋" w:eastAsia="仿宋" w:cs="仿宋"/>
          <w:color w:val="auto"/>
          <w:sz w:val="24"/>
          <w:highlight w:val="none"/>
          <w:lang w:val="en-US" w:eastAsia="zh-CN"/>
        </w:rPr>
        <w:t>投标人自行下载附件，</w:t>
      </w:r>
      <w:r>
        <w:rPr>
          <w:rFonts w:hint="eastAsia" w:ascii="仿宋" w:hAnsi="仿宋" w:eastAsia="仿宋" w:cs="仿宋"/>
          <w:color w:val="auto"/>
          <w:sz w:val="24"/>
          <w:highlight w:val="none"/>
        </w:rPr>
        <w:t>获取</w:t>
      </w:r>
      <w:r>
        <w:rPr>
          <w:rFonts w:hint="eastAsia" w:ascii="仿宋" w:hAnsi="仿宋" w:eastAsia="仿宋" w:cs="仿宋"/>
          <w:color w:val="auto"/>
          <w:sz w:val="24"/>
          <w:highlight w:val="none"/>
          <w:lang w:val="en-US" w:eastAsia="zh-CN"/>
        </w:rPr>
        <w:t>竞争性</w:t>
      </w:r>
      <w:r>
        <w:rPr>
          <w:rFonts w:hint="eastAsia" w:ascii="仿宋" w:hAnsi="仿宋" w:eastAsia="仿宋" w:cs="仿宋"/>
          <w:color w:val="auto"/>
          <w:sz w:val="24"/>
          <w:highlight w:val="none"/>
          <w:lang w:eastAsia="zh-CN"/>
        </w:rPr>
        <w:t>比选</w:t>
      </w:r>
      <w:r>
        <w:rPr>
          <w:rFonts w:hint="eastAsia" w:ascii="仿宋" w:hAnsi="仿宋" w:eastAsia="仿宋" w:cs="仿宋"/>
          <w:color w:val="auto"/>
          <w:sz w:val="24"/>
          <w:highlight w:val="none"/>
        </w:rPr>
        <w:t>文件。请将法定代表人身份证明书（盖章扫描件）、授权委托书（盖章扫描件）和营业执照发送至云南师范大学附属世纪金源学校后勤保障中心邮箱</w:t>
      </w:r>
      <w:r>
        <w:rPr>
          <w:rFonts w:hint="eastAsia" w:ascii="仿宋" w:hAnsi="仿宋" w:eastAsia="仿宋" w:cs="仿宋"/>
          <w:color w:val="0000FF"/>
          <w:sz w:val="24"/>
          <w:highlight w:val="none"/>
        </w:rPr>
        <w:t>（</w:t>
      </w:r>
      <w:r>
        <w:rPr>
          <w:rFonts w:hint="eastAsia" w:ascii="仿宋" w:hAnsi="仿宋" w:eastAsia="仿宋" w:cs="仿宋"/>
          <w:color w:val="0000FF"/>
          <w:sz w:val="24"/>
          <w:highlight w:val="none"/>
          <w:lang w:val="en-US" w:eastAsia="zh-CN"/>
        </w:rPr>
        <w:t>735938009</w:t>
      </w:r>
      <w:r>
        <w:rPr>
          <w:rFonts w:hint="eastAsia" w:ascii="仿宋" w:hAnsi="仿宋" w:eastAsia="仿宋" w:cs="仿宋"/>
          <w:color w:val="0000FF"/>
          <w:sz w:val="24"/>
          <w:highlight w:val="none"/>
        </w:rPr>
        <w:t>@qq.com）</w:t>
      </w:r>
      <w:r>
        <w:rPr>
          <w:rFonts w:hint="eastAsia" w:ascii="仿宋" w:hAnsi="仿宋" w:eastAsia="仿宋" w:cs="仿宋"/>
          <w:color w:val="auto"/>
          <w:sz w:val="24"/>
          <w:highlight w:val="none"/>
          <w:lang w:val="en-US" w:eastAsia="zh-CN"/>
        </w:rPr>
        <w:t>确认报名资格。</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2</w:t>
      </w:r>
      <w:r>
        <w:rPr>
          <w:rFonts w:hint="eastAsia" w:ascii="仿宋" w:hAnsi="仿宋" w:eastAsia="仿宋" w:cs="仿宋"/>
          <w:color w:val="auto"/>
          <w:sz w:val="24"/>
          <w:highlight w:val="none"/>
        </w:rPr>
        <w:t>.售价：人民币</w:t>
      </w:r>
      <w:r>
        <w:rPr>
          <w:rFonts w:hint="eastAsia" w:ascii="仿宋" w:hAnsi="仿宋" w:eastAsia="仿宋" w:cs="仿宋"/>
          <w:color w:val="auto"/>
          <w:sz w:val="24"/>
          <w:highlight w:val="none"/>
          <w:lang w:val="en-US" w:eastAsia="zh-CN"/>
        </w:rPr>
        <w:t>0元整</w:t>
      </w:r>
      <w:r>
        <w:rPr>
          <w:rFonts w:hint="eastAsia" w:ascii="仿宋" w:hAnsi="仿宋" w:eastAsia="仿宋" w:cs="仿宋"/>
          <w:color w:val="auto"/>
          <w:sz w:val="24"/>
          <w:highlight w:val="none"/>
        </w:rPr>
        <w:t>（¥0.00元）。</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5" w:name="_Toc7912"/>
      <w:r>
        <w:rPr>
          <w:rFonts w:hint="eastAsia" w:ascii="仿宋" w:hAnsi="仿宋" w:eastAsia="仿宋" w:cs="仿宋"/>
          <w:bCs/>
          <w:color w:val="auto"/>
          <w:sz w:val="24"/>
          <w:highlight w:val="none"/>
        </w:rPr>
        <w:t>四、</w:t>
      </w:r>
      <w:r>
        <w:rPr>
          <w:rFonts w:hint="eastAsia" w:ascii="仿宋" w:hAnsi="仿宋" w:eastAsia="仿宋" w:cs="仿宋"/>
          <w:color w:val="auto"/>
          <w:sz w:val="24"/>
          <w:highlight w:val="none"/>
          <w:lang w:val="en-US" w:eastAsia="zh-CN"/>
        </w:rPr>
        <w:t>竞争性</w:t>
      </w:r>
      <w:r>
        <w:rPr>
          <w:rFonts w:hint="eastAsia" w:ascii="仿宋" w:hAnsi="仿宋" w:eastAsia="仿宋" w:cs="仿宋"/>
          <w:bCs/>
          <w:color w:val="auto"/>
          <w:sz w:val="24"/>
          <w:highlight w:val="none"/>
        </w:rPr>
        <w:t>比选文件提交</w:t>
      </w:r>
      <w:bookmarkEnd w:id="35"/>
    </w:p>
    <w:p>
      <w:pPr>
        <w:spacing w:line="500" w:lineRule="atLeast"/>
        <w:ind w:firstLine="480" w:firstLineChars="200"/>
        <w:rPr>
          <w:rFonts w:hint="eastAsia" w:ascii="仿宋" w:hAnsi="仿宋" w:eastAsia="仿宋" w:cs="仿宋"/>
          <w:bCs/>
          <w:color w:val="auto"/>
          <w:sz w:val="24"/>
          <w:highlight w:val="none"/>
        </w:rPr>
      </w:pPr>
      <w:r>
        <w:rPr>
          <w:rFonts w:hint="eastAsia" w:ascii="仿宋" w:hAnsi="仿宋" w:eastAsia="仿宋" w:cs="仿宋"/>
          <w:color w:val="auto"/>
          <w:sz w:val="24"/>
          <w:highlight w:val="none"/>
        </w:rPr>
        <w:t>1.截止时间：</w:t>
      </w:r>
      <w:r>
        <w:rPr>
          <w:rFonts w:hint="eastAsia" w:ascii="仿宋" w:hAnsi="仿宋" w:eastAsia="仿宋" w:cs="仿宋"/>
          <w:color w:val="auto"/>
          <w:sz w:val="24"/>
          <w:highlight w:val="none"/>
          <w:u w:val="single"/>
          <w:lang w:eastAsia="zh-CN"/>
        </w:rPr>
        <w:t>2024年8月27日14点30分</w:t>
      </w:r>
      <w:r>
        <w:rPr>
          <w:rFonts w:hint="eastAsia" w:ascii="仿宋" w:hAnsi="仿宋" w:eastAsia="仿宋" w:cs="仿宋"/>
          <w:color w:val="auto"/>
          <w:sz w:val="24"/>
          <w:highlight w:val="none"/>
        </w:rPr>
        <w:t>（北京时间）</w:t>
      </w:r>
    </w:p>
    <w:p>
      <w:pPr>
        <w:spacing w:line="500" w:lineRule="atLeast"/>
        <w:ind w:firstLine="480" w:firstLineChars="200"/>
        <w:rPr>
          <w:rFonts w:hint="eastAsia" w:ascii="仿宋" w:hAnsi="仿宋" w:eastAsia="仿宋" w:cs="仿宋"/>
          <w:bCs/>
          <w:color w:val="auto"/>
          <w:sz w:val="24"/>
          <w:highlight w:val="none"/>
          <w:u w:val="single"/>
        </w:rPr>
      </w:pPr>
      <w:r>
        <w:rPr>
          <w:rFonts w:hint="eastAsia" w:ascii="仿宋" w:hAnsi="仿宋" w:eastAsia="仿宋" w:cs="仿宋"/>
          <w:color w:val="auto"/>
          <w:sz w:val="24"/>
          <w:highlight w:val="none"/>
        </w:rPr>
        <w:t>2.地点：云南师范大学附属世纪金源学校（昆明市广福路3678号）</w:t>
      </w:r>
      <w:r>
        <w:rPr>
          <w:rFonts w:hint="eastAsia" w:ascii="仿宋" w:hAnsi="仿宋" w:eastAsia="仿宋" w:cs="仿宋"/>
          <w:color w:val="auto"/>
          <w:sz w:val="24"/>
          <w:szCs w:val="24"/>
          <w:highlight w:val="none"/>
          <w:lang w:eastAsia="zh-CN"/>
        </w:rPr>
        <w:t>，逾期送达的或者未送达指定地点的响应文件，招标人不予受理</w:t>
      </w:r>
      <w:r>
        <w:rPr>
          <w:rFonts w:hint="eastAsia" w:ascii="仿宋" w:hAnsi="仿宋" w:eastAsia="仿宋" w:cs="仿宋"/>
          <w:color w:val="auto"/>
          <w:sz w:val="24"/>
          <w:highlight w:val="none"/>
        </w:rPr>
        <w:t>。</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6" w:name="_Toc8469"/>
      <w:r>
        <w:rPr>
          <w:rFonts w:hint="eastAsia" w:ascii="仿宋" w:hAnsi="仿宋" w:eastAsia="仿宋" w:cs="仿宋"/>
          <w:bCs/>
          <w:color w:val="auto"/>
          <w:sz w:val="24"/>
          <w:highlight w:val="none"/>
        </w:rPr>
        <w:t>五、开启</w:t>
      </w:r>
      <w:bookmarkEnd w:id="36"/>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1.时间：</w:t>
      </w:r>
      <w:r>
        <w:rPr>
          <w:rFonts w:hint="eastAsia" w:ascii="仿宋" w:hAnsi="仿宋" w:eastAsia="仿宋" w:cs="仿宋"/>
          <w:color w:val="auto"/>
          <w:sz w:val="24"/>
          <w:highlight w:val="none"/>
          <w:u w:val="single"/>
          <w:lang w:eastAsia="zh-CN"/>
        </w:rPr>
        <w:t>2024年8月27日14点30分</w:t>
      </w:r>
      <w:r>
        <w:rPr>
          <w:rFonts w:hint="eastAsia" w:ascii="仿宋" w:hAnsi="仿宋" w:eastAsia="仿宋" w:cs="仿宋"/>
          <w:color w:val="auto"/>
          <w:sz w:val="24"/>
          <w:highlight w:val="none"/>
        </w:rPr>
        <w:t>（北京时间）</w:t>
      </w:r>
    </w:p>
    <w:p>
      <w:pPr>
        <w:spacing w:line="500" w:lineRule="atLeast"/>
        <w:ind w:firstLine="480" w:firstLineChars="200"/>
        <w:rPr>
          <w:rFonts w:hint="eastAsia" w:ascii="仿宋" w:hAnsi="仿宋" w:eastAsia="仿宋" w:cs="仿宋"/>
          <w:bCs/>
          <w:color w:val="auto"/>
          <w:sz w:val="24"/>
          <w:highlight w:val="none"/>
          <w:u w:val="single"/>
        </w:rPr>
      </w:pPr>
      <w:r>
        <w:rPr>
          <w:rFonts w:hint="eastAsia" w:ascii="仿宋" w:hAnsi="仿宋" w:eastAsia="仿宋" w:cs="仿宋"/>
          <w:color w:val="auto"/>
          <w:sz w:val="24"/>
          <w:highlight w:val="none"/>
        </w:rPr>
        <w:t>2.地点：云南师范大学附属世纪金源学校（昆明市广福路3678号）。</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7" w:name="_Toc24530"/>
      <w:r>
        <w:rPr>
          <w:rFonts w:hint="eastAsia" w:ascii="仿宋" w:hAnsi="仿宋" w:eastAsia="仿宋" w:cs="仿宋"/>
          <w:bCs/>
          <w:color w:val="auto"/>
          <w:sz w:val="24"/>
          <w:highlight w:val="none"/>
        </w:rPr>
        <w:t>六、公告期限</w:t>
      </w:r>
      <w:bookmarkEnd w:id="37"/>
    </w:p>
    <w:p>
      <w:pPr>
        <w:spacing w:line="500" w:lineRule="atLeast"/>
        <w:ind w:firstLine="480" w:firstLineChars="200"/>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自本公告发布之日起</w:t>
      </w:r>
      <w:r>
        <w:rPr>
          <w:rFonts w:hint="eastAsia" w:ascii="仿宋" w:hAnsi="仿宋" w:eastAsia="仿宋" w:cs="仿宋"/>
          <w:color w:val="auto"/>
          <w:kern w:val="0"/>
          <w:sz w:val="24"/>
          <w:highlight w:val="none"/>
          <w:lang w:val="en-US" w:eastAsia="zh-CN"/>
        </w:rPr>
        <w:t>3</w:t>
      </w:r>
      <w:r>
        <w:rPr>
          <w:rFonts w:hint="eastAsia" w:ascii="仿宋" w:hAnsi="仿宋" w:eastAsia="仿宋" w:cs="仿宋"/>
          <w:color w:val="auto"/>
          <w:kern w:val="0"/>
          <w:sz w:val="24"/>
          <w:highlight w:val="none"/>
        </w:rPr>
        <w:t>日。</w:t>
      </w:r>
    </w:p>
    <w:p>
      <w:pPr>
        <w:spacing w:line="500" w:lineRule="atLeast"/>
        <w:ind w:firstLine="480" w:firstLineChars="200"/>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七、其他补充事宜</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1.开标方式：现场开标</w:t>
      </w:r>
    </w:p>
    <w:p>
      <w:pPr>
        <w:spacing w:line="500" w:lineRule="atLeast"/>
        <w:ind w:firstLine="480" w:firstLineChars="200"/>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2.是否需要缴纳投标保证金：</w:t>
      </w:r>
      <w:r>
        <w:rPr>
          <w:rFonts w:hint="eastAsia" w:ascii="仿宋" w:hAnsi="仿宋" w:eastAsia="仿宋" w:cs="仿宋"/>
          <w:color w:val="auto"/>
          <w:sz w:val="24"/>
          <w:highlight w:val="none"/>
          <w:lang w:val="en-US" w:eastAsia="zh-CN"/>
        </w:rPr>
        <w:t>否</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.比选信息、中标公告均仅在以下媒体发布：</w:t>
      </w:r>
      <w:r>
        <w:rPr>
          <w:rFonts w:hint="eastAsia" w:ascii="仿宋" w:hAnsi="仿宋" w:eastAsia="仿宋" w:cs="仿宋"/>
          <w:color w:val="auto"/>
          <w:kern w:val="0"/>
          <w:sz w:val="24"/>
          <w:highlight w:val="none"/>
          <w:lang w:eastAsia="zh-CN"/>
        </w:rPr>
        <w:t>云南师范大学附属世纪金源学校</w:t>
      </w:r>
      <w:r>
        <w:rPr>
          <w:rFonts w:hint="eastAsia" w:ascii="仿宋" w:hAnsi="仿宋" w:eastAsia="仿宋" w:cs="仿宋"/>
          <w:color w:val="auto"/>
          <w:kern w:val="0"/>
          <w:sz w:val="24"/>
          <w:highlight w:val="none"/>
          <w:lang w:val="en-US" w:eastAsia="zh-CN"/>
        </w:rPr>
        <w:t>官网</w:t>
      </w:r>
      <w:r>
        <w:rPr>
          <w:rFonts w:hint="eastAsia" w:ascii="仿宋" w:hAnsi="仿宋" w:eastAsia="仿宋" w:cs="仿宋"/>
          <w:color w:val="auto"/>
          <w:spacing w:val="0"/>
          <w:sz w:val="24"/>
          <w:highlight w:val="none"/>
        </w:rPr>
        <w:t>（https://www.ysdsjjy.com/sjjycms/front/index）</w:t>
      </w:r>
      <w:r>
        <w:rPr>
          <w:rFonts w:hint="eastAsia" w:ascii="仿宋" w:hAnsi="仿宋" w:eastAsia="仿宋" w:cs="仿宋"/>
          <w:color w:val="auto"/>
          <w:sz w:val="24"/>
          <w:highlight w:val="none"/>
        </w:rPr>
        <w:t>。</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8" w:name="_Toc2115"/>
      <w:r>
        <w:rPr>
          <w:rFonts w:hint="eastAsia" w:ascii="仿宋" w:hAnsi="仿宋" w:eastAsia="仿宋" w:cs="仿宋"/>
          <w:bCs/>
          <w:color w:val="auto"/>
          <w:sz w:val="24"/>
          <w:highlight w:val="none"/>
        </w:rPr>
        <w:t>八、凡对本次</w:t>
      </w:r>
      <w:r>
        <w:rPr>
          <w:rFonts w:hint="eastAsia" w:ascii="仿宋" w:hAnsi="仿宋" w:eastAsia="仿宋" w:cs="仿宋"/>
          <w:bCs/>
          <w:color w:val="auto"/>
          <w:sz w:val="24"/>
          <w:highlight w:val="none"/>
          <w:lang w:val="en-US" w:eastAsia="zh-CN"/>
        </w:rPr>
        <w:t>招标</w:t>
      </w:r>
      <w:r>
        <w:rPr>
          <w:rFonts w:hint="eastAsia" w:ascii="仿宋" w:hAnsi="仿宋" w:eastAsia="仿宋" w:cs="仿宋"/>
          <w:bCs/>
          <w:color w:val="auto"/>
          <w:sz w:val="24"/>
          <w:highlight w:val="none"/>
        </w:rPr>
        <w:t>提出询问，请按以下方式联系</w:t>
      </w:r>
      <w:bookmarkEnd w:id="38"/>
    </w:p>
    <w:p>
      <w:pPr>
        <w:spacing w:line="500" w:lineRule="atLeast"/>
        <w:ind w:firstLine="480" w:firstLineChars="200"/>
        <w:rPr>
          <w:rFonts w:hint="eastAsia" w:ascii="仿宋" w:hAnsi="仿宋" w:eastAsia="仿宋" w:cs="仿宋"/>
          <w:color w:val="auto"/>
          <w:kern w:val="0"/>
          <w:sz w:val="24"/>
          <w:highlight w:val="none"/>
          <w:lang w:eastAsia="zh-CN"/>
        </w:rPr>
      </w:pPr>
      <w:r>
        <w:rPr>
          <w:rFonts w:hint="eastAsia" w:ascii="仿宋" w:hAnsi="仿宋" w:eastAsia="仿宋" w:cs="仿宋"/>
          <w:color w:val="auto"/>
          <w:kern w:val="0"/>
          <w:sz w:val="24"/>
          <w:highlight w:val="none"/>
        </w:rPr>
        <w:t>名    称：</w:t>
      </w:r>
      <w:r>
        <w:rPr>
          <w:rFonts w:hint="eastAsia" w:ascii="仿宋" w:hAnsi="仿宋" w:eastAsia="仿宋" w:cs="仿宋"/>
          <w:color w:val="auto"/>
          <w:kern w:val="0"/>
          <w:sz w:val="24"/>
          <w:highlight w:val="none"/>
          <w:lang w:eastAsia="zh-CN"/>
        </w:rPr>
        <w:t>云南师范大学附属世纪金源学校</w:t>
      </w:r>
    </w:p>
    <w:p>
      <w:pPr>
        <w:spacing w:line="500" w:lineRule="atLeast"/>
        <w:ind w:firstLine="480" w:firstLineChars="200"/>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rPr>
        <w:t>地    址：</w:t>
      </w:r>
      <w:r>
        <w:rPr>
          <w:rFonts w:hint="eastAsia" w:ascii="仿宋" w:hAnsi="仿宋" w:eastAsia="仿宋" w:cs="仿宋"/>
          <w:color w:val="auto"/>
          <w:sz w:val="24"/>
          <w:highlight w:val="none"/>
        </w:rPr>
        <w:t>昆明市广福路3678号</w:t>
      </w:r>
      <w:bookmarkStart w:id="415" w:name="_GoBack"/>
      <w:bookmarkEnd w:id="415"/>
    </w:p>
    <w:p>
      <w:pPr>
        <w:spacing w:line="500" w:lineRule="atLeast"/>
        <w:ind w:firstLine="480" w:firstLineChars="200"/>
        <w:rPr>
          <w:rFonts w:hint="eastAsia" w:ascii="仿宋" w:hAnsi="仿宋" w:eastAsia="仿宋" w:cs="仿宋"/>
          <w:color w:val="auto"/>
          <w:sz w:val="52"/>
          <w:szCs w:val="32"/>
          <w:highlight w:val="none"/>
        </w:rPr>
      </w:pPr>
      <w:r>
        <w:rPr>
          <w:rFonts w:hint="eastAsia" w:ascii="仿宋" w:hAnsi="仿宋" w:eastAsia="仿宋" w:cs="仿宋"/>
          <w:color w:val="000000" w:themeColor="text1"/>
          <w:kern w:val="0"/>
          <w:sz w:val="24"/>
          <w14:textFill>
            <w14:solidFill>
              <w14:schemeClr w14:val="tx1"/>
            </w14:solidFill>
          </w14:textFill>
        </w:rPr>
        <w:t>联系方式：</w:t>
      </w:r>
      <w:r>
        <w:rPr>
          <w:rFonts w:hint="eastAsia" w:ascii="仿宋" w:hAnsi="仿宋" w:eastAsia="仿宋" w:cs="仿宋"/>
          <w:color w:val="000000" w:themeColor="text1"/>
          <w:kern w:val="0"/>
          <w:sz w:val="24"/>
          <w:lang w:val="en-US" w:eastAsia="zh-CN"/>
          <w14:textFill>
            <w14:solidFill>
              <w14:schemeClr w14:val="tx1"/>
            </w14:solidFill>
          </w14:textFill>
        </w:rPr>
        <w:t>陈老师 15987181858</w:t>
      </w:r>
    </w:p>
    <w:p>
      <w:pPr>
        <w:rPr>
          <w:rFonts w:hint="eastAsia" w:ascii="仿宋" w:hAnsi="仿宋" w:eastAsia="仿宋" w:cs="仿宋"/>
          <w:color w:val="auto"/>
          <w:sz w:val="52"/>
          <w:szCs w:val="32"/>
          <w:highlight w:val="none"/>
        </w:rPr>
      </w:pPr>
      <w:r>
        <w:rPr>
          <w:rFonts w:hint="eastAsia" w:ascii="仿宋" w:hAnsi="仿宋" w:eastAsia="仿宋" w:cs="仿宋"/>
          <w:color w:val="auto"/>
          <w:sz w:val="52"/>
          <w:szCs w:val="32"/>
          <w:highlight w:val="none"/>
        </w:rPr>
        <w:br w:type="page"/>
      </w:r>
    </w:p>
    <w:p>
      <w:pPr>
        <w:pStyle w:val="2"/>
        <w:numPr>
          <w:ilvl w:val="0"/>
          <w:numId w:val="0"/>
        </w:numPr>
        <w:spacing w:line="600" w:lineRule="exact"/>
        <w:jc w:val="center"/>
        <w:rPr>
          <w:rFonts w:hint="eastAsia" w:ascii="仿宋" w:hAnsi="仿宋" w:eastAsia="仿宋" w:cs="仿宋"/>
          <w:color w:val="auto"/>
          <w:sz w:val="52"/>
          <w:szCs w:val="32"/>
          <w:highlight w:val="none"/>
        </w:rPr>
      </w:pPr>
      <w:bookmarkStart w:id="39" w:name="_Toc933"/>
      <w:r>
        <w:rPr>
          <w:rFonts w:hint="eastAsia" w:ascii="仿宋" w:hAnsi="仿宋" w:eastAsia="仿宋" w:cs="仿宋"/>
          <w:color w:val="auto"/>
          <w:sz w:val="52"/>
          <w:szCs w:val="32"/>
          <w:highlight w:val="none"/>
        </w:rPr>
        <w:t>第二章  投标人须知</w:t>
      </w:r>
      <w:bookmarkEnd w:id="26"/>
      <w:bookmarkEnd w:id="27"/>
      <w:bookmarkEnd w:id="28"/>
      <w:bookmarkEnd w:id="29"/>
      <w:bookmarkEnd w:id="30"/>
      <w:bookmarkEnd w:id="31"/>
      <w:bookmarkEnd w:id="39"/>
    </w:p>
    <w:p>
      <w:pPr>
        <w:pStyle w:val="2"/>
        <w:numPr>
          <w:ilvl w:val="0"/>
          <w:numId w:val="0"/>
        </w:numPr>
        <w:spacing w:line="600" w:lineRule="exact"/>
        <w:jc w:val="center"/>
        <w:rPr>
          <w:rFonts w:hint="eastAsia" w:ascii="仿宋" w:hAnsi="仿宋" w:eastAsia="仿宋" w:cs="仿宋"/>
          <w:color w:val="auto"/>
          <w:sz w:val="52"/>
          <w:szCs w:val="32"/>
          <w:highlight w:val="none"/>
        </w:rPr>
      </w:pPr>
      <w:bookmarkStart w:id="40" w:name="_Toc13457"/>
      <w:bookmarkStart w:id="41" w:name="_Toc2894"/>
      <w:r>
        <w:rPr>
          <w:rFonts w:hint="eastAsia" w:ascii="仿宋" w:hAnsi="仿宋" w:eastAsia="仿宋" w:cs="仿宋"/>
          <w:color w:val="auto"/>
          <w:szCs w:val="28"/>
          <w:highlight w:val="none"/>
        </w:rPr>
        <w:t>投标人须知前附表</w:t>
      </w:r>
      <w:bookmarkEnd w:id="40"/>
      <w:bookmarkEnd w:id="41"/>
    </w:p>
    <w:tbl>
      <w:tblPr>
        <w:tblStyle w:val="38"/>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blHeader/>
          <w:jc w:val="center"/>
        </w:trPr>
        <w:tc>
          <w:tcPr>
            <w:tcW w:w="377" w:type="pct"/>
            <w:vAlign w:val="center"/>
          </w:tcPr>
          <w:p>
            <w:pPr>
              <w:pStyle w:val="20"/>
              <w:spacing w:line="360" w:lineRule="exact"/>
              <w:jc w:val="center"/>
              <w:rPr>
                <w:rFonts w:hint="eastAsia" w:ascii="仿宋" w:hAnsi="仿宋" w:eastAsia="仿宋" w:cs="仿宋"/>
                <w:b/>
                <w:color w:val="auto"/>
                <w:sz w:val="21"/>
                <w:szCs w:val="21"/>
                <w:highlight w:val="none"/>
              </w:rPr>
            </w:pPr>
            <w:bookmarkStart w:id="42" w:name="_Toc22339"/>
            <w:bookmarkStart w:id="43" w:name="_Toc21481"/>
            <w:bookmarkStart w:id="44" w:name="_Toc32188"/>
            <w:bookmarkStart w:id="45" w:name="_Toc30962"/>
            <w:bookmarkStart w:id="46" w:name="_Toc28574"/>
            <w:r>
              <w:rPr>
                <w:rFonts w:hint="eastAsia" w:ascii="仿宋" w:hAnsi="仿宋" w:eastAsia="仿宋" w:cs="仿宋"/>
                <w:b/>
                <w:color w:val="auto"/>
                <w:sz w:val="21"/>
                <w:szCs w:val="21"/>
                <w:highlight w:val="none"/>
              </w:rPr>
              <w:t>条款号</w:t>
            </w:r>
          </w:p>
        </w:tc>
        <w:tc>
          <w:tcPr>
            <w:tcW w:w="974" w:type="pct"/>
            <w:vAlign w:val="center"/>
          </w:tcPr>
          <w:p>
            <w:pPr>
              <w:pStyle w:val="20"/>
              <w:spacing w:line="360" w:lineRule="exact"/>
              <w:jc w:val="center"/>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条 款 名 称</w:t>
            </w:r>
          </w:p>
        </w:tc>
        <w:tc>
          <w:tcPr>
            <w:tcW w:w="3648" w:type="pct"/>
            <w:vAlign w:val="center"/>
          </w:tcPr>
          <w:p>
            <w:pPr>
              <w:pStyle w:val="20"/>
              <w:spacing w:line="360" w:lineRule="exact"/>
              <w:jc w:val="center"/>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编 列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restart"/>
            <w:vAlign w:val="center"/>
          </w:tcPr>
          <w:p>
            <w:pPr>
              <w:pStyle w:val="20"/>
              <w:spacing w:line="360" w:lineRule="exact"/>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p>
        </w:tc>
        <w:tc>
          <w:tcPr>
            <w:tcW w:w="974" w:type="pct"/>
            <w:vAlign w:val="center"/>
          </w:tcPr>
          <w:p>
            <w:pPr>
              <w:pStyle w:val="20"/>
              <w:spacing w:line="360" w:lineRule="exact"/>
              <w:rPr>
                <w:rFonts w:hint="eastAsia" w:ascii="仿宋" w:hAnsi="仿宋" w:eastAsia="仿宋" w:cs="仿宋"/>
                <w:color w:val="auto"/>
                <w:sz w:val="21"/>
                <w:szCs w:val="21"/>
                <w:highlight w:val="none"/>
                <w:u w:val="single"/>
              </w:rPr>
            </w:pPr>
            <w:r>
              <w:rPr>
                <w:rFonts w:hint="eastAsia" w:ascii="仿宋" w:hAnsi="仿宋" w:eastAsia="仿宋" w:cs="仿宋"/>
                <w:bCs/>
                <w:color w:val="auto"/>
                <w:sz w:val="21"/>
                <w:szCs w:val="21"/>
                <w:highlight w:val="none"/>
              </w:rPr>
              <w:t>招标人</w:t>
            </w:r>
          </w:p>
        </w:tc>
        <w:tc>
          <w:tcPr>
            <w:tcW w:w="3648" w:type="pct"/>
            <w:vAlign w:val="center"/>
          </w:tcPr>
          <w:p>
            <w:pPr>
              <w:pStyle w:val="20"/>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eastAsia="zh-CN"/>
              </w:rPr>
              <w:t>云南师范大学附属世纪金源学校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continue"/>
            <w:vAlign w:val="center"/>
          </w:tcPr>
          <w:p>
            <w:pPr>
              <w:spacing w:line="360" w:lineRule="exact"/>
              <w:rPr>
                <w:rFonts w:hint="eastAsia" w:ascii="仿宋" w:hAnsi="仿宋" w:eastAsia="仿宋" w:cs="仿宋"/>
                <w:color w:val="auto"/>
                <w:szCs w:val="21"/>
                <w:highlight w:val="none"/>
              </w:rPr>
            </w:pP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项目名称</w:t>
            </w:r>
          </w:p>
        </w:tc>
        <w:tc>
          <w:tcPr>
            <w:tcW w:w="3648" w:type="pct"/>
            <w:vAlign w:val="center"/>
          </w:tcPr>
          <w:p>
            <w:pPr>
              <w:pStyle w:val="20"/>
              <w:spacing w:line="360" w:lineRule="exact"/>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eastAsia="zh-CN"/>
              </w:rPr>
              <w:t>云南师范大学世纪金源学校校方综合防范保险项目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0" w:hRule="atLeast"/>
          <w:jc w:val="center"/>
        </w:trPr>
        <w:tc>
          <w:tcPr>
            <w:tcW w:w="377" w:type="pct"/>
            <w:vMerge w:val="continue"/>
            <w:vAlign w:val="center"/>
          </w:tcPr>
          <w:p>
            <w:pPr>
              <w:spacing w:line="360" w:lineRule="exact"/>
              <w:rPr>
                <w:rFonts w:hint="eastAsia" w:ascii="仿宋" w:hAnsi="仿宋" w:eastAsia="仿宋" w:cs="仿宋"/>
                <w:color w:val="auto"/>
                <w:szCs w:val="21"/>
                <w:highlight w:val="none"/>
              </w:rPr>
            </w:pP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项目编号</w:t>
            </w:r>
          </w:p>
        </w:tc>
        <w:tc>
          <w:tcPr>
            <w:tcW w:w="3648" w:type="pct"/>
            <w:vAlign w:val="center"/>
          </w:tcPr>
          <w:p>
            <w:pPr>
              <w:pStyle w:val="20"/>
              <w:spacing w:line="360" w:lineRule="exact"/>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2.1</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pacing w:val="-11"/>
                <w:sz w:val="21"/>
                <w:szCs w:val="21"/>
                <w:highlight w:val="none"/>
              </w:rPr>
              <w:t>项目预算及最高限价</w:t>
            </w:r>
          </w:p>
        </w:tc>
        <w:tc>
          <w:tcPr>
            <w:tcW w:w="3648" w:type="pct"/>
            <w:vAlign w:val="center"/>
          </w:tcPr>
          <w:p>
            <w:pPr>
              <w:pStyle w:val="20"/>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eastAsia="zh-CN"/>
              </w:rPr>
              <w:t>30元/生/年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3.1</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招标</w:t>
            </w:r>
            <w:r>
              <w:rPr>
                <w:rFonts w:hint="eastAsia" w:ascii="仿宋" w:hAnsi="仿宋" w:eastAsia="仿宋" w:cs="仿宋"/>
                <w:color w:val="auto"/>
                <w:sz w:val="21"/>
                <w:szCs w:val="21"/>
                <w:highlight w:val="none"/>
              </w:rPr>
              <w:t>内容</w:t>
            </w:r>
          </w:p>
        </w:tc>
        <w:tc>
          <w:tcPr>
            <w:tcW w:w="3648" w:type="pct"/>
            <w:vAlign w:val="center"/>
          </w:tcPr>
          <w:p>
            <w:pPr>
              <w:spacing w:line="500" w:lineRule="atLeast"/>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SA"/>
              </w:rPr>
              <w:t>云南师范大学世纪金源学校校方综合防范保险项目。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3.2</w:t>
            </w:r>
          </w:p>
        </w:tc>
        <w:tc>
          <w:tcPr>
            <w:tcW w:w="974" w:type="pct"/>
            <w:vAlign w:val="center"/>
          </w:tcPr>
          <w:p>
            <w:pPr>
              <w:pStyle w:val="20"/>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服务期</w:t>
            </w:r>
          </w:p>
        </w:tc>
        <w:tc>
          <w:tcPr>
            <w:tcW w:w="3648" w:type="pct"/>
            <w:vAlign w:val="center"/>
          </w:tcPr>
          <w:p>
            <w:pPr>
              <w:spacing w:line="420" w:lineRule="exact"/>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SA"/>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3.3</w:t>
            </w:r>
          </w:p>
        </w:tc>
        <w:tc>
          <w:tcPr>
            <w:tcW w:w="974" w:type="pct"/>
            <w:vAlign w:val="center"/>
          </w:tcPr>
          <w:p>
            <w:pPr>
              <w:pStyle w:val="20"/>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kern w:val="2"/>
                <w:sz w:val="21"/>
                <w:szCs w:val="21"/>
                <w:highlight w:val="none"/>
                <w:lang w:val="en-US" w:eastAsia="zh-CN"/>
              </w:rPr>
              <w:t>服务地点</w:t>
            </w:r>
          </w:p>
        </w:tc>
        <w:tc>
          <w:tcPr>
            <w:tcW w:w="3648" w:type="pct"/>
            <w:vAlign w:val="center"/>
          </w:tcPr>
          <w:p>
            <w:pPr>
              <w:pStyle w:val="20"/>
              <w:spacing w:line="360" w:lineRule="exact"/>
              <w:rPr>
                <w:rFonts w:hint="eastAsia" w:ascii="仿宋" w:hAnsi="仿宋" w:eastAsia="仿宋" w:cs="仿宋"/>
                <w:color w:val="auto"/>
                <w:szCs w:val="21"/>
                <w:highlight w:val="none"/>
              </w:rPr>
            </w:pPr>
            <w:r>
              <w:rPr>
                <w:rFonts w:hint="eastAsia" w:ascii="仿宋" w:hAnsi="仿宋" w:eastAsia="仿宋" w:cs="仿宋"/>
                <w:color w:val="auto"/>
                <w:sz w:val="21"/>
                <w:szCs w:val="21"/>
                <w:highlight w:val="none"/>
                <w:lang w:eastAsia="zh-CN"/>
              </w:rPr>
              <w:t>云南师范大学附属世纪金源学校</w:t>
            </w:r>
            <w:r>
              <w:rPr>
                <w:rFonts w:hint="eastAsia" w:ascii="仿宋" w:hAnsi="仿宋" w:eastAsia="仿宋" w:cs="仿宋"/>
                <w:color w:val="auto"/>
                <w:sz w:val="21"/>
                <w:szCs w:val="21"/>
                <w:highlight w:val="none"/>
              </w:rPr>
              <w:t>校指定地点。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★4.1</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投标人资格要求</w:t>
            </w:r>
          </w:p>
        </w:tc>
        <w:tc>
          <w:tcPr>
            <w:tcW w:w="3648"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1.满足《中华人民共和国政府采购法》第二十二条规定：</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具有独立承担民事责任的能力：</w:t>
            </w:r>
            <w:r>
              <w:rPr>
                <w:rFonts w:hint="eastAsia" w:ascii="仿宋" w:hAnsi="仿宋" w:eastAsia="仿宋" w:cs="仿宋"/>
                <w:color w:val="auto"/>
                <w:sz w:val="21"/>
                <w:szCs w:val="21"/>
                <w:highlight w:val="none"/>
                <w:lang w:eastAsia="zh-CN"/>
              </w:rPr>
              <w:t>投标人须在中华人民共和国境内注册，提供市场监督管理部门核发的有效的三证合一营业执照，</w:t>
            </w:r>
            <w:r>
              <w:rPr>
                <w:rFonts w:hint="eastAsia" w:ascii="仿宋" w:hAnsi="仿宋" w:eastAsia="仿宋" w:cs="仿宋"/>
                <w:color w:val="auto"/>
                <w:sz w:val="21"/>
                <w:szCs w:val="21"/>
                <w:highlight w:val="none"/>
              </w:rPr>
              <w:t>若为分支机构参与</w:t>
            </w:r>
            <w:r>
              <w:rPr>
                <w:rFonts w:hint="eastAsia" w:ascii="仿宋" w:hAnsi="仿宋" w:eastAsia="仿宋" w:cs="仿宋"/>
                <w:color w:val="auto"/>
                <w:sz w:val="21"/>
                <w:szCs w:val="21"/>
                <w:highlight w:val="none"/>
                <w:lang w:eastAsia="zh-CN"/>
              </w:rPr>
              <w:t>投标人</w:t>
            </w:r>
            <w:r>
              <w:rPr>
                <w:rFonts w:hint="eastAsia" w:ascii="仿宋" w:hAnsi="仿宋" w:eastAsia="仿宋" w:cs="仿宋"/>
                <w:color w:val="auto"/>
                <w:sz w:val="21"/>
                <w:szCs w:val="21"/>
                <w:highlight w:val="none"/>
              </w:rPr>
              <w:t>，须取得总公司的有效授权</w:t>
            </w:r>
            <w:r>
              <w:rPr>
                <w:rFonts w:hint="eastAsia" w:ascii="仿宋" w:hAnsi="仿宋" w:eastAsia="仿宋" w:cs="仿宋"/>
                <w:color w:val="auto"/>
                <w:sz w:val="21"/>
                <w:szCs w:val="21"/>
                <w:highlight w:val="none"/>
                <w:lang w:eastAsia="zh-CN"/>
              </w:rPr>
              <w:t>，且总公司仅允许授权一家分支机构</w:t>
            </w:r>
            <w:r>
              <w:rPr>
                <w:rFonts w:hint="eastAsia" w:ascii="仿宋" w:hAnsi="仿宋" w:eastAsia="仿宋" w:cs="仿宋"/>
                <w:color w:val="auto"/>
                <w:sz w:val="21"/>
                <w:szCs w:val="21"/>
                <w:highlight w:val="none"/>
              </w:rPr>
              <w:t>参与</w:t>
            </w:r>
            <w:r>
              <w:rPr>
                <w:rFonts w:hint="eastAsia" w:ascii="仿宋" w:hAnsi="仿宋" w:eastAsia="仿宋" w:cs="仿宋"/>
                <w:color w:val="auto"/>
                <w:sz w:val="21"/>
                <w:szCs w:val="21"/>
                <w:highlight w:val="none"/>
                <w:lang w:eastAsia="zh-CN"/>
              </w:rPr>
              <w:t>投标</w:t>
            </w:r>
            <w:r>
              <w:rPr>
                <w:rFonts w:hint="eastAsia" w:ascii="仿宋" w:hAnsi="仿宋" w:eastAsia="仿宋" w:cs="仿宋"/>
                <w:color w:val="auto"/>
                <w:sz w:val="21"/>
                <w:szCs w:val="21"/>
                <w:highlight w:val="none"/>
              </w:rPr>
              <w:t>；</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具有良好的商业信誉和健全的财务会计制度：</w:t>
            </w:r>
            <w:r>
              <w:rPr>
                <w:rFonts w:hint="eastAsia" w:ascii="仿宋" w:hAnsi="仿宋" w:eastAsia="仿宋" w:cs="仿宋"/>
                <w:color w:val="auto"/>
                <w:sz w:val="21"/>
                <w:szCs w:val="21"/>
                <w:highlight w:val="none"/>
                <w:lang w:eastAsia="zh-CN"/>
              </w:rPr>
              <w:t>提供投标人</w:t>
            </w:r>
            <w:r>
              <w:rPr>
                <w:rFonts w:hint="eastAsia" w:ascii="仿宋" w:hAnsi="仿宋" w:eastAsia="仿宋" w:cs="仿宋"/>
                <w:color w:val="auto"/>
                <w:sz w:val="21"/>
                <w:szCs w:val="21"/>
                <w:highlight w:val="none"/>
                <w:lang w:val="en-US" w:eastAsia="zh-CN"/>
              </w:rPr>
              <w:t>2023</w:t>
            </w:r>
            <w:r>
              <w:rPr>
                <w:rFonts w:hint="eastAsia" w:ascii="仿宋" w:hAnsi="仿宋" w:eastAsia="仿宋" w:cs="仿宋"/>
                <w:color w:val="auto"/>
                <w:sz w:val="21"/>
                <w:szCs w:val="21"/>
                <w:highlight w:val="none"/>
                <w:lang w:eastAsia="zh-CN"/>
              </w:rPr>
              <w:t>年度经第三方审计的财务报告及报表（报表至少应包括资产负债表、利润表（损益表）、现金流量表），或提供自提交响应文件截止时间前三个月内基本开户银行出具的资信证明</w:t>
            </w:r>
            <w:r>
              <w:rPr>
                <w:rFonts w:hint="eastAsia" w:ascii="仿宋" w:hAnsi="仿宋" w:eastAsia="仿宋" w:cs="仿宋"/>
                <w:color w:val="auto"/>
                <w:sz w:val="21"/>
                <w:szCs w:val="21"/>
                <w:highlight w:val="none"/>
              </w:rPr>
              <w:t>。</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3</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具有履行合同所必需的设备和专业技术能力：</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提供</w:t>
            </w:r>
            <w:r>
              <w:rPr>
                <w:rFonts w:hint="eastAsia" w:ascii="仿宋" w:hAnsi="仿宋" w:eastAsia="仿宋" w:cs="仿宋"/>
                <w:color w:val="auto"/>
                <w:sz w:val="21"/>
                <w:szCs w:val="21"/>
                <w:highlight w:val="none"/>
              </w:rPr>
              <w:t>书面声明</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4</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有依法缴纳税收和社会保障资金的良好记录：</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①</w:t>
            </w:r>
            <w:r>
              <w:rPr>
                <w:rFonts w:hint="eastAsia" w:ascii="仿宋" w:hAnsi="仿宋" w:eastAsia="仿宋" w:cs="仿宋"/>
                <w:color w:val="auto"/>
                <w:sz w:val="21"/>
                <w:szCs w:val="21"/>
                <w:highlight w:val="none"/>
              </w:rPr>
              <w:t>提供投标人缴税所属时间在202</w:t>
            </w:r>
            <w:r>
              <w:rPr>
                <w:rFonts w:hint="eastAsia" w:ascii="仿宋" w:hAnsi="仿宋" w:eastAsia="仿宋" w:cs="仿宋"/>
                <w:color w:val="auto"/>
                <w:sz w:val="21"/>
                <w:szCs w:val="21"/>
                <w:highlight w:val="none"/>
                <w:lang w:val="en-US" w:eastAsia="zh-CN"/>
              </w:rPr>
              <w:t>3</w:t>
            </w:r>
            <w:r>
              <w:rPr>
                <w:rFonts w:hint="eastAsia" w:ascii="仿宋" w:hAnsi="仿宋" w:eastAsia="仿宋" w:cs="仿宋"/>
                <w:color w:val="auto"/>
                <w:sz w:val="21"/>
                <w:szCs w:val="21"/>
                <w:highlight w:val="none"/>
              </w:rPr>
              <w:t>年01月至本项目提交</w:t>
            </w:r>
            <w:r>
              <w:rPr>
                <w:rFonts w:hint="eastAsia" w:ascii="仿宋" w:hAnsi="仿宋" w:eastAsia="仿宋" w:cs="仿宋"/>
                <w:color w:val="auto"/>
                <w:sz w:val="21"/>
                <w:szCs w:val="21"/>
                <w:highlight w:val="none"/>
                <w:lang w:eastAsia="zh-CN"/>
              </w:rPr>
              <w:t>响应文件</w:t>
            </w:r>
            <w:r>
              <w:rPr>
                <w:rFonts w:hint="eastAsia" w:ascii="仿宋" w:hAnsi="仿宋" w:eastAsia="仿宋" w:cs="仿宋"/>
                <w:color w:val="auto"/>
                <w:sz w:val="21"/>
                <w:szCs w:val="21"/>
                <w:highlight w:val="none"/>
              </w:rPr>
              <w:t>截止时间前</w:t>
            </w:r>
            <w:r>
              <w:rPr>
                <w:rFonts w:hint="eastAsia" w:ascii="仿宋" w:hAnsi="仿宋" w:eastAsia="仿宋" w:cs="仿宋"/>
                <w:color w:val="auto"/>
                <w:sz w:val="21"/>
                <w:szCs w:val="21"/>
                <w:highlight w:val="none"/>
                <w:lang w:eastAsia="zh-CN"/>
              </w:rPr>
              <w:t>任意</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lang w:eastAsia="zh-CN"/>
              </w:rPr>
              <w:t>个月</w:t>
            </w:r>
            <w:r>
              <w:rPr>
                <w:rFonts w:hint="eastAsia" w:ascii="仿宋" w:hAnsi="仿宋" w:eastAsia="仿宋" w:cs="仿宋"/>
                <w:color w:val="auto"/>
                <w:sz w:val="21"/>
                <w:szCs w:val="21"/>
                <w:highlight w:val="none"/>
              </w:rPr>
              <w:t>的税务局税收通用缴款书或银行电子缴税（费）凭证或税务局出具纳税情况的相关证明，依法免税的，应提供依法免税的相关证明文件；</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②</w:t>
            </w:r>
            <w:r>
              <w:rPr>
                <w:rFonts w:hint="eastAsia" w:ascii="仿宋" w:hAnsi="仿宋" w:eastAsia="仿宋" w:cs="仿宋"/>
                <w:color w:val="auto"/>
                <w:sz w:val="21"/>
                <w:szCs w:val="21"/>
                <w:highlight w:val="none"/>
              </w:rPr>
              <w:t>提供投标人缴费所属时间在202</w:t>
            </w:r>
            <w:r>
              <w:rPr>
                <w:rFonts w:hint="eastAsia" w:ascii="仿宋" w:hAnsi="仿宋" w:eastAsia="仿宋" w:cs="仿宋"/>
                <w:color w:val="auto"/>
                <w:sz w:val="21"/>
                <w:szCs w:val="21"/>
                <w:highlight w:val="none"/>
                <w:lang w:val="en-US" w:eastAsia="zh-CN"/>
              </w:rPr>
              <w:t>3</w:t>
            </w:r>
            <w:r>
              <w:rPr>
                <w:rFonts w:hint="eastAsia" w:ascii="仿宋" w:hAnsi="仿宋" w:eastAsia="仿宋" w:cs="仿宋"/>
                <w:color w:val="auto"/>
                <w:sz w:val="21"/>
                <w:szCs w:val="21"/>
                <w:highlight w:val="none"/>
              </w:rPr>
              <w:t>年01月至本项目提交</w:t>
            </w:r>
            <w:r>
              <w:rPr>
                <w:rFonts w:hint="eastAsia" w:ascii="仿宋" w:hAnsi="仿宋" w:eastAsia="仿宋" w:cs="仿宋"/>
                <w:color w:val="auto"/>
                <w:sz w:val="21"/>
                <w:szCs w:val="21"/>
                <w:highlight w:val="none"/>
                <w:lang w:eastAsia="zh-CN"/>
              </w:rPr>
              <w:t>响应文件</w:t>
            </w:r>
            <w:r>
              <w:rPr>
                <w:rFonts w:hint="eastAsia" w:ascii="仿宋" w:hAnsi="仿宋" w:eastAsia="仿宋" w:cs="仿宋"/>
                <w:color w:val="auto"/>
                <w:sz w:val="21"/>
                <w:szCs w:val="21"/>
                <w:highlight w:val="none"/>
              </w:rPr>
              <w:t>截止时间前</w:t>
            </w:r>
            <w:r>
              <w:rPr>
                <w:rFonts w:hint="eastAsia" w:ascii="仿宋" w:hAnsi="仿宋" w:eastAsia="仿宋" w:cs="仿宋"/>
                <w:color w:val="auto"/>
                <w:sz w:val="21"/>
                <w:szCs w:val="21"/>
                <w:highlight w:val="none"/>
                <w:lang w:eastAsia="zh-CN"/>
              </w:rPr>
              <w:t>任意2个月</w:t>
            </w:r>
            <w:r>
              <w:rPr>
                <w:rFonts w:hint="eastAsia" w:ascii="仿宋" w:hAnsi="仿宋" w:eastAsia="仿宋" w:cs="仿宋"/>
                <w:color w:val="auto"/>
                <w:sz w:val="21"/>
                <w:szCs w:val="21"/>
                <w:highlight w:val="none"/>
              </w:rPr>
              <w:t>的社会保险费缴款书或银行电子缴税（费）凭证或社保管理部门出具的有效的缴款证明，依法免缴的，应提供依法免缴的相关证明文件；</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参加政府采购活动前三年内，在经营活动中没有重大违法记录：提供投标人参加政府采购活动前三年内，在经营活动中没有重大违法记录（重大违法记录，是指投标人因违法经营受到刑事处罚或者责令停产停业、吊销许可证或者执照、较大数额罚款等行政处罚）的书面声明；</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法律、行政法规规定的其他条件：</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①</w:t>
            </w:r>
            <w:r>
              <w:rPr>
                <w:rFonts w:hint="eastAsia" w:ascii="仿宋" w:hAnsi="仿宋" w:eastAsia="仿宋" w:cs="仿宋"/>
                <w:color w:val="auto"/>
                <w:sz w:val="21"/>
                <w:szCs w:val="21"/>
                <w:highlight w:val="none"/>
                <w:lang w:eastAsia="zh-CN"/>
              </w:rPr>
              <w:t>投标人</w:t>
            </w:r>
            <w:r>
              <w:rPr>
                <w:rFonts w:hint="eastAsia" w:ascii="仿宋" w:hAnsi="仿宋" w:eastAsia="仿宋" w:cs="仿宋"/>
                <w:color w:val="auto"/>
                <w:sz w:val="21"/>
                <w:szCs w:val="21"/>
                <w:highlight w:val="none"/>
              </w:rPr>
              <w:t>在“信用中国”网站（</w:t>
            </w:r>
            <w:r>
              <w:rPr>
                <w:rFonts w:hint="eastAsia" w:ascii="仿宋" w:hAnsi="仿宋" w:eastAsia="仿宋" w:cs="仿宋"/>
                <w:color w:val="auto"/>
                <w:sz w:val="21"/>
                <w:szCs w:val="21"/>
                <w:highlight w:val="none"/>
              </w:rPr>
              <w:fldChar w:fldCharType="begin"/>
            </w:r>
            <w:r>
              <w:rPr>
                <w:rFonts w:hint="eastAsia" w:ascii="仿宋" w:hAnsi="仿宋" w:eastAsia="仿宋" w:cs="仿宋"/>
                <w:color w:val="auto"/>
                <w:sz w:val="21"/>
                <w:szCs w:val="21"/>
                <w:highlight w:val="none"/>
              </w:rPr>
              <w:instrText xml:space="preserve"> HYPERLINK \t "_blank" </w:instrText>
            </w:r>
            <w:r>
              <w:rPr>
                <w:rFonts w:hint="eastAsia" w:ascii="仿宋" w:hAnsi="仿宋" w:eastAsia="仿宋" w:cs="仿宋"/>
                <w:color w:val="auto"/>
                <w:sz w:val="21"/>
                <w:szCs w:val="21"/>
                <w:highlight w:val="none"/>
              </w:rPr>
              <w:fldChar w:fldCharType="separate"/>
            </w:r>
            <w:r>
              <w:rPr>
                <w:rFonts w:hint="eastAsia" w:ascii="仿宋" w:hAnsi="仿宋" w:eastAsia="仿宋" w:cs="仿宋"/>
                <w:color w:val="auto"/>
                <w:sz w:val="21"/>
                <w:szCs w:val="21"/>
                <w:highlight w:val="none"/>
              </w:rPr>
              <w:t>www.creditchina.gov.cn）中未被列入严重失信主体名单</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税收违法黑名单、政府采购严重违法失信行为记录名单</w:t>
            </w:r>
            <w:r>
              <w:rPr>
                <w:rFonts w:hint="eastAsia" w:ascii="仿宋" w:hAnsi="仿宋" w:eastAsia="仿宋" w:cs="仿宋"/>
                <w:color w:val="auto"/>
                <w:sz w:val="21"/>
                <w:szCs w:val="21"/>
                <w:highlight w:val="none"/>
              </w:rPr>
              <w:fldChar w:fldCharType="end"/>
            </w:r>
            <w:r>
              <w:rPr>
                <w:rFonts w:hint="eastAsia" w:ascii="仿宋" w:hAnsi="仿宋" w:eastAsia="仿宋" w:cs="仿宋"/>
                <w:color w:val="auto"/>
                <w:sz w:val="21"/>
                <w:szCs w:val="21"/>
                <w:highlight w:val="none"/>
              </w:rPr>
              <w:t>（被禁止在一定期限内参加采购活动但期限届满的除外）（查询时间为本公告发布之日起至提交</w:t>
            </w:r>
            <w:r>
              <w:rPr>
                <w:rFonts w:hint="eastAsia" w:ascii="仿宋" w:hAnsi="仿宋" w:eastAsia="仿宋" w:cs="仿宋"/>
                <w:color w:val="auto"/>
                <w:sz w:val="21"/>
                <w:szCs w:val="21"/>
                <w:highlight w:val="none"/>
                <w:lang w:eastAsia="zh-CN"/>
              </w:rPr>
              <w:t>响应文件</w:t>
            </w:r>
            <w:r>
              <w:rPr>
                <w:rFonts w:hint="eastAsia" w:ascii="仿宋" w:hAnsi="仿宋" w:eastAsia="仿宋" w:cs="仿宋"/>
                <w:color w:val="auto"/>
                <w:sz w:val="21"/>
                <w:szCs w:val="21"/>
                <w:highlight w:val="none"/>
              </w:rPr>
              <w:t>截止时间止，查询结果以采购人查询结果为准</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投标人无需再提供</w:t>
            </w:r>
            <w:r>
              <w:rPr>
                <w:rFonts w:hint="eastAsia" w:ascii="仿宋" w:hAnsi="仿宋" w:eastAsia="仿宋" w:cs="仿宋"/>
                <w:color w:val="auto"/>
                <w:sz w:val="21"/>
                <w:szCs w:val="21"/>
                <w:highlight w:val="none"/>
              </w:rPr>
              <w:t>）；</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②</w:t>
            </w:r>
            <w:r>
              <w:rPr>
                <w:rFonts w:hint="eastAsia" w:ascii="仿宋" w:hAnsi="仿宋" w:eastAsia="仿宋" w:cs="仿宋"/>
                <w:color w:val="auto"/>
                <w:sz w:val="21"/>
                <w:szCs w:val="21"/>
                <w:highlight w:val="none"/>
              </w:rPr>
              <w:t>投标人在中国政府采购网（</w:t>
            </w:r>
            <w:r>
              <w:rPr>
                <w:rFonts w:hint="eastAsia" w:ascii="仿宋" w:hAnsi="仿宋" w:eastAsia="仿宋" w:cs="仿宋"/>
                <w:color w:val="auto"/>
                <w:sz w:val="21"/>
                <w:szCs w:val="21"/>
                <w:highlight w:val="none"/>
              </w:rPr>
              <w:fldChar w:fldCharType="begin"/>
            </w:r>
            <w:r>
              <w:rPr>
                <w:rFonts w:hint="eastAsia" w:ascii="仿宋" w:hAnsi="仿宋" w:eastAsia="仿宋" w:cs="仿宋"/>
                <w:color w:val="auto"/>
                <w:sz w:val="21"/>
                <w:szCs w:val="21"/>
                <w:highlight w:val="none"/>
              </w:rPr>
              <w:instrText xml:space="preserve"> HYPERLINK \t "_blank" </w:instrText>
            </w:r>
            <w:r>
              <w:rPr>
                <w:rFonts w:hint="eastAsia" w:ascii="仿宋" w:hAnsi="仿宋" w:eastAsia="仿宋" w:cs="仿宋"/>
                <w:color w:val="auto"/>
                <w:sz w:val="21"/>
                <w:szCs w:val="21"/>
                <w:highlight w:val="none"/>
              </w:rPr>
              <w:fldChar w:fldCharType="separate"/>
            </w:r>
            <w:r>
              <w:rPr>
                <w:rFonts w:hint="eastAsia" w:ascii="仿宋" w:hAnsi="仿宋" w:eastAsia="仿宋" w:cs="仿宋"/>
                <w:color w:val="auto"/>
                <w:sz w:val="21"/>
                <w:szCs w:val="21"/>
                <w:highlight w:val="none"/>
              </w:rPr>
              <w:t>www.ccgp.gov.cn）政府采购严重违法失信行为记录名单中未被禁止参加政府采购活动</w:t>
            </w:r>
            <w:r>
              <w:rPr>
                <w:rFonts w:hint="eastAsia" w:ascii="仿宋" w:hAnsi="仿宋" w:eastAsia="仿宋" w:cs="仿宋"/>
                <w:color w:val="auto"/>
                <w:sz w:val="21"/>
                <w:szCs w:val="21"/>
                <w:highlight w:val="none"/>
              </w:rPr>
              <w:fldChar w:fldCharType="end"/>
            </w:r>
            <w:r>
              <w:rPr>
                <w:rFonts w:hint="eastAsia" w:ascii="仿宋" w:hAnsi="仿宋" w:eastAsia="仿宋" w:cs="仿宋"/>
                <w:color w:val="auto"/>
                <w:sz w:val="21"/>
                <w:szCs w:val="21"/>
                <w:highlight w:val="none"/>
              </w:rPr>
              <w:t>（查询时间为本公告发布之日起至提交</w:t>
            </w:r>
            <w:r>
              <w:rPr>
                <w:rFonts w:hint="eastAsia" w:ascii="仿宋" w:hAnsi="仿宋" w:eastAsia="仿宋" w:cs="仿宋"/>
                <w:color w:val="auto"/>
                <w:sz w:val="21"/>
                <w:szCs w:val="21"/>
                <w:highlight w:val="none"/>
                <w:lang w:eastAsia="zh-CN"/>
              </w:rPr>
              <w:t>响应文件</w:t>
            </w:r>
            <w:r>
              <w:rPr>
                <w:rFonts w:hint="eastAsia" w:ascii="仿宋" w:hAnsi="仿宋" w:eastAsia="仿宋" w:cs="仿宋"/>
                <w:color w:val="auto"/>
                <w:sz w:val="21"/>
                <w:szCs w:val="21"/>
                <w:highlight w:val="none"/>
              </w:rPr>
              <w:t>截止时间止，查询结果以采购人查询结果为准</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投标人无需再提供</w:t>
            </w:r>
            <w:r>
              <w:rPr>
                <w:rFonts w:hint="eastAsia" w:ascii="仿宋" w:hAnsi="仿宋" w:eastAsia="仿宋" w:cs="仿宋"/>
                <w:color w:val="auto"/>
                <w:sz w:val="21"/>
                <w:szCs w:val="21"/>
                <w:highlight w:val="none"/>
              </w:rPr>
              <w:t>）；</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2.落实政府采购政策需满足的资格要求：无；</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3.本项目的特定资格要求：</w:t>
            </w:r>
          </w:p>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投标人必须是经中国银行保险监督管理委员会（原“中国保险监督管理委员会”）批准，具备有效的《经营保险经纪业务许可证》</w:t>
            </w:r>
            <w:r>
              <w:rPr>
                <w:rFonts w:hint="eastAsia" w:ascii="仿宋" w:hAnsi="仿宋" w:eastAsia="仿宋" w:cs="仿宋"/>
                <w:color w:val="auto"/>
                <w:sz w:val="21"/>
                <w:szCs w:val="21"/>
                <w:highlight w:val="none"/>
                <w:lang w:val="en-US" w:eastAsia="zh-CN"/>
              </w:rPr>
              <w:t>或《保险中介许可证》</w:t>
            </w:r>
            <w:r>
              <w:rPr>
                <w:rFonts w:hint="eastAsia" w:ascii="仿宋" w:hAnsi="仿宋" w:eastAsia="仿宋" w:cs="仿宋"/>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★4.2</w:t>
            </w:r>
          </w:p>
        </w:tc>
        <w:tc>
          <w:tcPr>
            <w:tcW w:w="974" w:type="pct"/>
            <w:vAlign w:val="center"/>
          </w:tcPr>
          <w:p>
            <w:pPr>
              <w:autoSpaceDE w:val="0"/>
              <w:autoSpaceDN w:val="0"/>
              <w:snapToGrid w:val="0"/>
              <w:spacing w:line="36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spacing w:val="-11"/>
                <w:kern w:val="0"/>
                <w:szCs w:val="21"/>
                <w:highlight w:val="none"/>
              </w:rPr>
              <w:t>是否接受联合体比选</w:t>
            </w:r>
          </w:p>
        </w:tc>
        <w:tc>
          <w:tcPr>
            <w:tcW w:w="3648" w:type="pct"/>
            <w:vAlign w:val="center"/>
          </w:tcPr>
          <w:p>
            <w:pPr>
              <w:autoSpaceDE w:val="0"/>
              <w:autoSpaceDN w:val="0"/>
              <w:snapToGrid w:val="0"/>
              <w:spacing w:line="360" w:lineRule="exact"/>
              <w:textAlignment w:val="bottom"/>
              <w:rPr>
                <w:rFonts w:hint="eastAsia" w:ascii="仿宋" w:hAnsi="仿宋" w:eastAsia="仿宋" w:cs="仿宋"/>
                <w:bCs/>
                <w:color w:val="auto"/>
                <w:szCs w:val="21"/>
                <w:highlight w:val="none"/>
              </w:rPr>
            </w:pPr>
            <w:r>
              <w:rPr>
                <w:rFonts w:hint="eastAsia" w:ascii="仿宋" w:hAnsi="仿宋" w:eastAsia="仿宋" w:cs="仿宋"/>
                <w:bCs/>
                <w:color w:val="auto"/>
                <w:szCs w:val="21"/>
                <w:highlight w:val="none"/>
              </w:rPr>
              <w:t>不接受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20" w:lineRule="exact"/>
              <w:jc w:val="center"/>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5</w:t>
            </w:r>
            <w:r>
              <w:rPr>
                <w:rFonts w:hint="eastAsia" w:ascii="仿宋" w:hAnsi="仿宋" w:eastAsia="仿宋" w:cs="仿宋"/>
                <w:color w:val="auto"/>
                <w:szCs w:val="21"/>
                <w:highlight w:val="none"/>
              </w:rPr>
              <w:t>.1</w:t>
            </w:r>
          </w:p>
        </w:tc>
        <w:tc>
          <w:tcPr>
            <w:tcW w:w="974" w:type="pct"/>
            <w:vAlign w:val="center"/>
          </w:tcPr>
          <w:p>
            <w:pPr>
              <w:autoSpaceDE w:val="0"/>
              <w:autoSpaceDN w:val="0"/>
              <w:snapToGrid w:val="0"/>
              <w:spacing w:line="32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投标人要求澄清比选文件的截止时间</w:t>
            </w:r>
          </w:p>
        </w:tc>
        <w:tc>
          <w:tcPr>
            <w:tcW w:w="3648" w:type="pct"/>
            <w:vAlign w:val="center"/>
          </w:tcPr>
          <w:p>
            <w:pPr>
              <w:autoSpaceDE w:val="0"/>
              <w:autoSpaceDN w:val="0"/>
              <w:snapToGrid w:val="0"/>
              <w:spacing w:line="32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比选截止时间1日前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2</w:t>
            </w:r>
          </w:p>
        </w:tc>
        <w:tc>
          <w:tcPr>
            <w:tcW w:w="974" w:type="pct"/>
            <w:vAlign w:val="center"/>
          </w:tcPr>
          <w:p>
            <w:pPr>
              <w:autoSpaceDE w:val="0"/>
              <w:autoSpaceDN w:val="0"/>
              <w:snapToGrid w:val="0"/>
              <w:spacing w:line="36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比选文件澄清联系方式</w:t>
            </w:r>
          </w:p>
        </w:tc>
        <w:tc>
          <w:tcPr>
            <w:tcW w:w="3648" w:type="pct"/>
            <w:vAlign w:val="center"/>
          </w:tcPr>
          <w:p>
            <w:pPr>
              <w:autoSpaceDE w:val="0"/>
              <w:autoSpaceDN w:val="0"/>
              <w:snapToGrid w:val="0"/>
              <w:spacing w:line="360" w:lineRule="exact"/>
              <w:textAlignment w:val="bottom"/>
              <w:rPr>
                <w:rFonts w:hint="eastAsia" w:ascii="仿宋" w:hAnsi="仿宋" w:eastAsia="仿宋" w:cs="仿宋"/>
                <w:bCs/>
                <w:color w:val="auto"/>
                <w:szCs w:val="21"/>
                <w:highlight w:val="none"/>
                <w:lang w:eastAsia="zh-CN"/>
              </w:rPr>
            </w:pPr>
            <w:r>
              <w:rPr>
                <w:rFonts w:hint="eastAsia" w:ascii="仿宋" w:hAnsi="仿宋" w:eastAsia="仿宋" w:cs="仿宋"/>
                <w:bCs/>
                <w:color w:val="auto"/>
                <w:szCs w:val="21"/>
                <w:highlight w:val="none"/>
              </w:rPr>
              <w:t>澄清联系人：</w:t>
            </w:r>
            <w:r>
              <w:rPr>
                <w:rFonts w:hint="eastAsia" w:ascii="仿宋" w:hAnsi="仿宋" w:eastAsia="仿宋" w:cs="仿宋"/>
                <w:bCs/>
                <w:color w:val="auto"/>
                <w:szCs w:val="21"/>
                <w:highlight w:val="none"/>
                <w:lang w:val="en-US" w:eastAsia="zh-CN"/>
              </w:rPr>
              <w:t>陈老师</w:t>
            </w:r>
          </w:p>
          <w:p>
            <w:pPr>
              <w:autoSpaceDE w:val="0"/>
              <w:autoSpaceDN w:val="0"/>
              <w:snapToGrid w:val="0"/>
              <w:spacing w:line="360" w:lineRule="exact"/>
              <w:textAlignment w:val="bottom"/>
              <w:rPr>
                <w:rFonts w:hint="eastAsia" w:ascii="仿宋" w:hAnsi="仿宋" w:eastAsia="仿宋" w:cs="仿宋"/>
                <w:color w:val="auto"/>
                <w:kern w:val="0"/>
                <w:szCs w:val="21"/>
                <w:highlight w:val="none"/>
              </w:rPr>
            </w:pPr>
            <w:r>
              <w:rPr>
                <w:rFonts w:hint="eastAsia" w:ascii="仿宋" w:hAnsi="仿宋" w:eastAsia="仿宋" w:cs="仿宋"/>
                <w:bCs/>
                <w:color w:val="auto"/>
                <w:szCs w:val="21"/>
                <w:highlight w:val="none"/>
              </w:rPr>
              <w:t>电话：</w:t>
            </w:r>
            <w:r>
              <w:rPr>
                <w:rFonts w:hint="eastAsia" w:ascii="仿宋" w:hAnsi="仿宋" w:eastAsia="仿宋" w:cs="仿宋"/>
                <w:bCs/>
                <w:color w:val="auto"/>
                <w:szCs w:val="21"/>
                <w:highlight w:val="none"/>
                <w:lang w:val="en-US" w:eastAsia="zh-CN"/>
              </w:rPr>
              <w:t>15987181858</w:t>
            </w:r>
            <w:r>
              <w:rPr>
                <w:rFonts w:hint="eastAsia" w:ascii="仿宋" w:hAnsi="仿宋" w:eastAsia="仿宋" w:cs="仿宋"/>
                <w:bCs/>
                <w:color w:val="auto"/>
                <w:szCs w:val="21"/>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.1</w:t>
            </w:r>
          </w:p>
        </w:tc>
        <w:tc>
          <w:tcPr>
            <w:tcW w:w="974" w:type="pct"/>
            <w:vAlign w:val="center"/>
          </w:tcPr>
          <w:p>
            <w:pPr>
              <w:pStyle w:val="20"/>
              <w:spacing w:line="360" w:lineRule="exact"/>
              <w:rPr>
                <w:rFonts w:hint="eastAsia" w:ascii="仿宋" w:hAnsi="仿宋" w:eastAsia="仿宋" w:cs="仿宋"/>
                <w:color w:val="auto"/>
                <w:szCs w:val="21"/>
                <w:highlight w:val="none"/>
              </w:rPr>
            </w:pPr>
            <w:r>
              <w:rPr>
                <w:rFonts w:hint="eastAsia" w:ascii="仿宋" w:hAnsi="仿宋" w:eastAsia="仿宋" w:cs="仿宋"/>
                <w:color w:val="auto"/>
                <w:sz w:val="21"/>
                <w:szCs w:val="21"/>
                <w:highlight w:val="none"/>
              </w:rPr>
              <w:t>构成响应文件的其他资料</w:t>
            </w:r>
          </w:p>
        </w:tc>
        <w:tc>
          <w:tcPr>
            <w:tcW w:w="3648" w:type="pct"/>
            <w:vAlign w:val="center"/>
          </w:tcPr>
          <w:p>
            <w:pPr>
              <w:pStyle w:val="20"/>
              <w:numPr>
                <w:ilvl w:val="0"/>
                <w:numId w:val="4"/>
              </w:numPr>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澄清、承诺等</w:t>
            </w:r>
          </w:p>
          <w:p>
            <w:pPr>
              <w:pStyle w:val="20"/>
              <w:numPr>
                <w:ilvl w:val="0"/>
                <w:numId w:val="4"/>
              </w:numPr>
              <w:spacing w:line="360" w:lineRule="exact"/>
              <w:rPr>
                <w:rFonts w:hint="eastAsia" w:ascii="仿宋" w:hAnsi="仿宋" w:eastAsia="仿宋" w:cs="仿宋"/>
                <w:color w:val="auto"/>
                <w:highlight w:val="none"/>
              </w:rPr>
            </w:pPr>
            <w:r>
              <w:rPr>
                <w:rFonts w:hint="eastAsia" w:ascii="仿宋" w:hAnsi="仿宋" w:eastAsia="仿宋" w:cs="仿宋"/>
                <w:color w:val="auto"/>
                <w:sz w:val="21"/>
                <w:szCs w:val="21"/>
                <w:highlight w:val="none"/>
              </w:rPr>
              <w:t>投标人认为必须提供的其他相关资料。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rPr>
              <w:t>.1</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有效期</w:t>
            </w:r>
          </w:p>
        </w:tc>
        <w:tc>
          <w:tcPr>
            <w:tcW w:w="3648"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递交响应文件的截止日期后</w:t>
            </w:r>
            <w:r>
              <w:rPr>
                <w:rFonts w:hint="eastAsia" w:ascii="仿宋" w:hAnsi="仿宋" w:eastAsia="仿宋" w:cs="仿宋"/>
                <w:color w:val="auto"/>
                <w:sz w:val="21"/>
                <w:szCs w:val="21"/>
                <w:highlight w:val="none"/>
                <w:u w:val="single"/>
              </w:rPr>
              <w:t>90</w:t>
            </w:r>
            <w:r>
              <w:rPr>
                <w:rFonts w:hint="eastAsia" w:ascii="仿宋" w:hAnsi="仿宋" w:eastAsia="仿宋" w:cs="仿宋"/>
                <w:color w:val="auto"/>
                <w:sz w:val="21"/>
                <w:szCs w:val="21"/>
                <w:highlight w:val="none"/>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8</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1</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响应文件副本份数</w:t>
            </w:r>
          </w:p>
        </w:tc>
        <w:tc>
          <w:tcPr>
            <w:tcW w:w="3648"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u w:val="single"/>
              </w:rPr>
              <w:t>2</w:t>
            </w:r>
            <w:r>
              <w:rPr>
                <w:rFonts w:hint="eastAsia" w:ascii="仿宋" w:hAnsi="仿宋" w:eastAsia="仿宋" w:cs="仿宋"/>
                <w:color w:val="auto"/>
                <w:sz w:val="21"/>
                <w:szCs w:val="21"/>
                <w:highlight w:val="none"/>
              </w:rPr>
              <w:t xml:space="preserve">份；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9</w:t>
            </w:r>
            <w:r>
              <w:rPr>
                <w:rFonts w:hint="eastAsia" w:ascii="仿宋" w:hAnsi="仿宋" w:eastAsia="仿宋" w:cs="仿宋"/>
                <w:color w:val="auto"/>
                <w:sz w:val="21"/>
                <w:szCs w:val="21"/>
                <w:highlight w:val="none"/>
              </w:rPr>
              <w:t>.1</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比选保证金</w:t>
            </w:r>
          </w:p>
        </w:tc>
        <w:tc>
          <w:tcPr>
            <w:tcW w:w="3648" w:type="pct"/>
            <w:vAlign w:val="center"/>
          </w:tcPr>
          <w:p>
            <w:pPr>
              <w:spacing w:line="360" w:lineRule="exact"/>
              <w:rPr>
                <w:rFonts w:hint="eastAsia" w:ascii="仿宋" w:hAnsi="仿宋" w:eastAsia="仿宋" w:cs="仿宋"/>
                <w:color w:val="auto"/>
                <w:szCs w:val="21"/>
                <w:highlight w:val="none"/>
                <w:lang w:val="en-US" w:eastAsia="zh-CN"/>
              </w:rPr>
            </w:pPr>
            <w:r>
              <w:rPr>
                <w:rFonts w:hint="eastAsia" w:ascii="仿宋" w:hAnsi="仿宋" w:eastAsia="仿宋" w:cs="仿宋"/>
                <w:color w:val="auto"/>
                <w:highlight w:val="none"/>
                <w:lang w:val="en-US" w:eastAsia="zh-CN"/>
              </w:rPr>
              <w:t>本项目不收取比选保证金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18" w:hRule="atLeast"/>
          <w:jc w:val="center"/>
        </w:trPr>
        <w:tc>
          <w:tcPr>
            <w:tcW w:w="377" w:type="pct"/>
            <w:vAlign w:val="center"/>
          </w:tcPr>
          <w:p>
            <w:pPr>
              <w:pStyle w:val="33"/>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0</w:t>
            </w:r>
            <w:r>
              <w:rPr>
                <w:rFonts w:hint="eastAsia" w:ascii="仿宋" w:hAnsi="仿宋" w:eastAsia="仿宋" w:cs="仿宋"/>
                <w:color w:val="auto"/>
                <w:sz w:val="21"/>
                <w:szCs w:val="21"/>
                <w:highlight w:val="none"/>
              </w:rPr>
              <w:t>.1</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响应文件的提交</w:t>
            </w:r>
          </w:p>
        </w:tc>
        <w:tc>
          <w:tcPr>
            <w:tcW w:w="3648"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正本1份，副本2份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33"/>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.1</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递交响应文件的截止时间</w:t>
            </w:r>
          </w:p>
        </w:tc>
        <w:tc>
          <w:tcPr>
            <w:tcW w:w="3648" w:type="pct"/>
            <w:vAlign w:val="center"/>
          </w:tcPr>
          <w:p>
            <w:pPr>
              <w:pStyle w:val="20"/>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4"/>
                <w:highlight w:val="none"/>
                <w:u w:val="single"/>
                <w:lang w:eastAsia="zh-CN"/>
              </w:rPr>
              <w:t>2024年8月27日14点30分</w:t>
            </w:r>
            <w:r>
              <w:rPr>
                <w:rFonts w:hint="eastAsia" w:ascii="仿宋" w:hAnsi="仿宋" w:eastAsia="仿宋" w:cs="仿宋"/>
                <w:color w:val="auto"/>
                <w:sz w:val="24"/>
                <w:highlight w:val="none"/>
              </w:rPr>
              <w:t>（北京时间）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34" w:hRule="atLeast"/>
          <w:jc w:val="center"/>
        </w:trPr>
        <w:tc>
          <w:tcPr>
            <w:tcW w:w="377" w:type="pct"/>
            <w:vAlign w:val="center"/>
          </w:tcPr>
          <w:p>
            <w:pPr>
              <w:pStyle w:val="33"/>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.2</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递交响应文件地点</w:t>
            </w:r>
          </w:p>
        </w:tc>
        <w:tc>
          <w:tcPr>
            <w:tcW w:w="3648"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云南师范大学附属世纪金源学校（昆明市广福路3678号），逾期送达的或者未送达指定地点的响应文件，</w:t>
            </w:r>
            <w:r>
              <w:rPr>
                <w:rFonts w:hint="eastAsia" w:ascii="仿宋" w:hAnsi="仿宋" w:eastAsia="仿宋" w:cs="仿宋"/>
                <w:color w:val="auto"/>
                <w:sz w:val="21"/>
                <w:szCs w:val="21"/>
                <w:highlight w:val="none"/>
                <w:lang w:eastAsia="zh-CN"/>
              </w:rPr>
              <w:t>招标人</w:t>
            </w:r>
            <w:r>
              <w:rPr>
                <w:rFonts w:hint="eastAsia" w:ascii="仿宋" w:hAnsi="仿宋" w:eastAsia="仿宋" w:cs="仿宋"/>
                <w:color w:val="auto"/>
                <w:sz w:val="21"/>
                <w:szCs w:val="21"/>
                <w:highlight w:val="none"/>
              </w:rPr>
              <w:t>不予受理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95" w:hRule="atLeast"/>
          <w:jc w:val="center"/>
        </w:trPr>
        <w:tc>
          <w:tcPr>
            <w:tcW w:w="377" w:type="pct"/>
            <w:vAlign w:val="center"/>
          </w:tcPr>
          <w:p>
            <w:pPr>
              <w:pStyle w:val="33"/>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.3</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是否退还响应文件</w:t>
            </w:r>
          </w:p>
        </w:tc>
        <w:tc>
          <w:tcPr>
            <w:tcW w:w="3648"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b/>
                <w:color w:val="auto"/>
                <w:sz w:val="21"/>
                <w:szCs w:val="21"/>
                <w:highlight w:val="none"/>
              </w:rPr>
              <w:fldChar w:fldCharType="begin"/>
            </w:r>
            <w:r>
              <w:rPr>
                <w:rFonts w:hint="eastAsia" w:ascii="仿宋" w:hAnsi="仿宋" w:eastAsia="仿宋" w:cs="仿宋"/>
                <w:b/>
                <w:color w:val="auto"/>
                <w:sz w:val="21"/>
                <w:szCs w:val="21"/>
                <w:highlight w:val="none"/>
              </w:rPr>
              <w:instrText xml:space="preserve"> EQ \o(□,√)</w:instrText>
            </w:r>
            <w:r>
              <w:rPr>
                <w:rFonts w:hint="eastAsia" w:ascii="仿宋" w:hAnsi="仿宋" w:eastAsia="仿宋" w:cs="仿宋"/>
                <w:b/>
                <w:color w:val="auto"/>
                <w:sz w:val="21"/>
                <w:szCs w:val="21"/>
                <w:highlight w:val="none"/>
              </w:rPr>
              <w:fldChar w:fldCharType="end"/>
            </w:r>
            <w:r>
              <w:rPr>
                <w:rFonts w:hint="eastAsia" w:ascii="仿宋" w:hAnsi="仿宋" w:eastAsia="仿宋" w:cs="仿宋"/>
                <w:b/>
                <w:color w:val="auto"/>
                <w:sz w:val="21"/>
                <w:szCs w:val="21"/>
                <w:highlight w:val="none"/>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16</w:t>
            </w:r>
            <w:r>
              <w:rPr>
                <w:rFonts w:hint="eastAsia" w:ascii="仿宋" w:hAnsi="仿宋" w:eastAsia="仿宋" w:cs="仿宋"/>
                <w:color w:val="auto"/>
                <w:sz w:val="21"/>
                <w:szCs w:val="21"/>
                <w:highlight w:val="none"/>
                <w:lang w:val="en-US" w:eastAsia="zh-CN"/>
              </w:rPr>
              <w:t>.1</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比选时间和地点</w:t>
            </w:r>
          </w:p>
        </w:tc>
        <w:tc>
          <w:tcPr>
            <w:tcW w:w="3648" w:type="pct"/>
            <w:vAlign w:val="center"/>
          </w:tcPr>
          <w:p>
            <w:pPr>
              <w:pStyle w:val="20"/>
              <w:spacing w:line="360" w:lineRule="exact"/>
              <w:jc w:val="both"/>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比选时间：</w:t>
            </w:r>
            <w:r>
              <w:rPr>
                <w:rFonts w:hint="eastAsia" w:ascii="仿宋" w:hAnsi="仿宋" w:eastAsia="仿宋" w:cs="仿宋"/>
                <w:color w:val="auto"/>
                <w:sz w:val="24"/>
                <w:highlight w:val="none"/>
                <w:u w:val="single"/>
                <w:lang w:eastAsia="zh-CN"/>
              </w:rPr>
              <w:t>2024年8月27日14点30分</w:t>
            </w:r>
            <w:r>
              <w:rPr>
                <w:rFonts w:hint="eastAsia" w:ascii="仿宋" w:hAnsi="仿宋" w:eastAsia="仿宋" w:cs="仿宋"/>
                <w:color w:val="auto"/>
                <w:sz w:val="24"/>
                <w:highlight w:val="none"/>
              </w:rPr>
              <w:t>（北京时间）</w:t>
            </w:r>
          </w:p>
          <w:p>
            <w:pPr>
              <w:pStyle w:val="20"/>
              <w:spacing w:line="360" w:lineRule="exact"/>
              <w:rPr>
                <w:rFonts w:hint="eastAsia" w:ascii="仿宋" w:hAnsi="仿宋" w:eastAsia="仿宋" w:cs="仿宋"/>
                <w:color w:val="auto"/>
                <w:sz w:val="21"/>
                <w:szCs w:val="21"/>
                <w:highlight w:val="none"/>
                <w:u w:val="single"/>
              </w:rPr>
            </w:pPr>
            <w:r>
              <w:rPr>
                <w:rFonts w:hint="eastAsia" w:ascii="仿宋" w:hAnsi="仿宋" w:eastAsia="仿宋" w:cs="仿宋"/>
                <w:color w:val="auto"/>
                <w:sz w:val="21"/>
                <w:szCs w:val="21"/>
                <w:highlight w:val="none"/>
              </w:rPr>
              <w:t>比选地点：云南师范大学附属世纪金源学校（昆明市广福路3678号）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17</w:t>
            </w:r>
            <w:r>
              <w:rPr>
                <w:rFonts w:hint="eastAsia" w:ascii="仿宋" w:hAnsi="仿宋" w:eastAsia="仿宋" w:cs="仿宋"/>
                <w:color w:val="auto"/>
                <w:sz w:val="21"/>
                <w:szCs w:val="21"/>
                <w:highlight w:val="none"/>
              </w:rPr>
              <w:t>.1</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bCs/>
                <w:color w:val="auto"/>
                <w:sz w:val="21"/>
                <w:szCs w:val="21"/>
                <w:highlight w:val="none"/>
              </w:rPr>
              <w:t>履约保证金</w:t>
            </w:r>
            <w:r>
              <w:rPr>
                <w:rFonts w:hint="eastAsia" w:ascii="仿宋" w:hAnsi="仿宋" w:eastAsia="仿宋" w:cs="仿宋"/>
                <w:color w:val="auto"/>
                <w:sz w:val="21"/>
                <w:szCs w:val="21"/>
                <w:highlight w:val="none"/>
              </w:rPr>
              <w:t>金额</w:t>
            </w:r>
          </w:p>
        </w:tc>
        <w:tc>
          <w:tcPr>
            <w:tcW w:w="3648" w:type="pct"/>
            <w:vAlign w:val="center"/>
          </w:tcPr>
          <w:p>
            <w:pPr>
              <w:pStyle w:val="20"/>
              <w:spacing w:line="30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20"/>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18</w:t>
            </w:r>
            <w:r>
              <w:rPr>
                <w:rFonts w:hint="eastAsia" w:ascii="仿宋" w:hAnsi="仿宋" w:eastAsia="仿宋" w:cs="仿宋"/>
                <w:color w:val="auto"/>
                <w:sz w:val="21"/>
                <w:szCs w:val="21"/>
                <w:highlight w:val="none"/>
              </w:rPr>
              <w:t>.3</w:t>
            </w:r>
          </w:p>
        </w:tc>
        <w:tc>
          <w:tcPr>
            <w:tcW w:w="974" w:type="pct"/>
            <w:vAlign w:val="center"/>
          </w:tcPr>
          <w:p>
            <w:pPr>
              <w:pStyle w:val="20"/>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履约保证金退还时间</w:t>
            </w:r>
          </w:p>
        </w:tc>
        <w:tc>
          <w:tcPr>
            <w:tcW w:w="3648" w:type="pct"/>
            <w:vAlign w:val="center"/>
          </w:tcPr>
          <w:p>
            <w:pPr>
              <w:pStyle w:val="20"/>
              <w:spacing w:line="30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auto"/>
              <w:jc w:val="center"/>
              <w:rPr>
                <w:rFonts w:hint="eastAsia" w:ascii="仿宋" w:hAnsi="仿宋" w:eastAsia="仿宋" w:cs="仿宋"/>
                <w:color w:val="auto"/>
                <w:kern w:val="0"/>
                <w:sz w:val="20"/>
                <w:szCs w:val="21"/>
                <w:highlight w:val="none"/>
                <w:lang w:val="en-US" w:eastAsia="zh-CN" w:bidi="ar-SA"/>
              </w:rPr>
            </w:pPr>
            <w:r>
              <w:rPr>
                <w:rFonts w:hint="eastAsia" w:ascii="仿宋" w:hAnsi="仿宋" w:eastAsia="仿宋" w:cs="仿宋"/>
                <w:color w:val="auto"/>
                <w:szCs w:val="21"/>
                <w:highlight w:val="none"/>
                <w:lang w:val="en-US" w:eastAsia="zh-CN"/>
              </w:rPr>
              <w:t>19</w:t>
            </w:r>
            <w:r>
              <w:rPr>
                <w:rFonts w:hint="eastAsia" w:ascii="仿宋" w:hAnsi="仿宋" w:eastAsia="仿宋" w:cs="仿宋"/>
                <w:color w:val="auto"/>
                <w:szCs w:val="21"/>
                <w:highlight w:val="none"/>
              </w:rPr>
              <w:t>.1</w:t>
            </w:r>
          </w:p>
        </w:tc>
        <w:tc>
          <w:tcPr>
            <w:tcW w:w="4622" w:type="pct"/>
            <w:gridSpan w:val="2"/>
            <w:vAlign w:val="center"/>
          </w:tcPr>
          <w:p>
            <w:pPr>
              <w:pStyle w:val="20"/>
              <w:spacing w:line="360" w:lineRule="exact"/>
              <w:rPr>
                <w:rFonts w:hint="eastAsia" w:ascii="仿宋" w:hAnsi="仿宋" w:eastAsia="仿宋" w:cs="仿宋"/>
                <w:color w:val="auto"/>
                <w:szCs w:val="21"/>
                <w:highlight w:val="none"/>
              </w:rPr>
            </w:pPr>
            <w:r>
              <w:rPr>
                <w:rFonts w:hint="eastAsia" w:ascii="仿宋" w:hAnsi="仿宋" w:eastAsia="仿宋" w:cs="仿宋"/>
                <w:color w:val="auto"/>
                <w:szCs w:val="21"/>
                <w:highlight w:val="none"/>
              </w:rPr>
              <w:t>需要补充的其他内容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20"/>
              <w:spacing w:line="360" w:lineRule="auto"/>
              <w:jc w:val="center"/>
              <w:rPr>
                <w:rFonts w:hint="eastAsia" w:ascii="仿宋" w:hAnsi="仿宋" w:eastAsia="仿宋" w:cs="仿宋"/>
                <w:color w:val="auto"/>
                <w:szCs w:val="21"/>
                <w:highlight w:val="none"/>
                <w:lang w:eastAsia="zh-CN"/>
              </w:rPr>
            </w:pPr>
            <w:r>
              <w:rPr>
                <w:rFonts w:hint="eastAsia" w:ascii="仿宋" w:hAnsi="仿宋" w:eastAsia="仿宋" w:cs="仿宋"/>
                <w:color w:val="auto"/>
                <w:szCs w:val="21"/>
                <w:highlight w:val="none"/>
                <w:lang w:eastAsia="zh-CN"/>
              </w:rPr>
              <w:t>（</w:t>
            </w:r>
            <w:r>
              <w:rPr>
                <w:rFonts w:hint="eastAsia" w:ascii="仿宋" w:hAnsi="仿宋" w:eastAsia="仿宋" w:cs="仿宋"/>
                <w:color w:val="auto"/>
                <w:szCs w:val="21"/>
                <w:highlight w:val="none"/>
                <w:lang w:val="en-US" w:eastAsia="zh-CN"/>
              </w:rPr>
              <w:t>1</w:t>
            </w:r>
            <w:r>
              <w:rPr>
                <w:rFonts w:hint="eastAsia" w:ascii="仿宋" w:hAnsi="仿宋" w:eastAsia="仿宋" w:cs="仿宋"/>
                <w:color w:val="auto"/>
                <w:szCs w:val="21"/>
                <w:highlight w:val="none"/>
                <w:lang w:eastAsia="zh-CN"/>
              </w:rPr>
              <w:t>）</w:t>
            </w:r>
          </w:p>
        </w:tc>
        <w:tc>
          <w:tcPr>
            <w:tcW w:w="4622" w:type="pct"/>
            <w:gridSpan w:val="2"/>
            <w:vAlign w:val="center"/>
          </w:tcPr>
          <w:p>
            <w:pPr>
              <w:pStyle w:val="20"/>
              <w:spacing w:line="360" w:lineRule="exact"/>
              <w:rPr>
                <w:rFonts w:hint="eastAsia" w:ascii="仿宋" w:hAnsi="仿宋" w:eastAsia="仿宋" w:cs="仿宋"/>
                <w:color w:val="auto"/>
                <w:szCs w:val="21"/>
                <w:highlight w:val="none"/>
              </w:rPr>
            </w:pPr>
            <w:r>
              <w:rPr>
                <w:rFonts w:hint="eastAsia" w:ascii="仿宋" w:hAnsi="仿宋" w:eastAsia="仿宋" w:cs="仿宋"/>
                <w:color w:val="auto"/>
                <w:szCs w:val="21"/>
                <w:highlight w:val="none"/>
              </w:rPr>
              <w:t>★参与本项目开标人员须为</w:t>
            </w:r>
            <w:r>
              <w:rPr>
                <w:rFonts w:hint="eastAsia" w:ascii="仿宋" w:hAnsi="仿宋" w:eastAsia="仿宋" w:cs="仿宋"/>
                <w:color w:val="auto"/>
                <w:szCs w:val="21"/>
                <w:highlight w:val="none"/>
                <w:lang w:val="en-US" w:eastAsia="zh-CN"/>
              </w:rPr>
              <w:t>投标单位</w:t>
            </w:r>
            <w:r>
              <w:rPr>
                <w:rFonts w:hint="eastAsia" w:ascii="仿宋" w:hAnsi="仿宋" w:eastAsia="仿宋" w:cs="仿宋"/>
                <w:color w:val="auto"/>
                <w:szCs w:val="21"/>
                <w:highlight w:val="none"/>
              </w:rPr>
              <w:t>法定代表人或</w:t>
            </w:r>
            <w:r>
              <w:rPr>
                <w:rFonts w:hint="eastAsia" w:ascii="仿宋" w:hAnsi="仿宋" w:eastAsia="仿宋" w:cs="仿宋"/>
                <w:color w:val="auto"/>
                <w:szCs w:val="21"/>
                <w:highlight w:val="none"/>
                <w:lang w:val="en-US" w:eastAsia="zh-CN"/>
              </w:rPr>
              <w:t>响应</w:t>
            </w:r>
            <w:r>
              <w:rPr>
                <w:rFonts w:hint="eastAsia" w:ascii="仿宋" w:hAnsi="仿宋" w:eastAsia="仿宋" w:cs="仿宋"/>
                <w:color w:val="auto"/>
                <w:szCs w:val="21"/>
                <w:highlight w:val="none"/>
              </w:rPr>
              <w:t>文件中的法定代表人授权委托人。</w:t>
            </w:r>
          </w:p>
        </w:tc>
      </w:tr>
      <w:bookmarkEnd w:id="42"/>
      <w:bookmarkEnd w:id="43"/>
      <w:bookmarkEnd w:id="44"/>
      <w:bookmarkEnd w:id="45"/>
      <w:bookmarkEnd w:id="46"/>
    </w:tbl>
    <w:p>
      <w:pPr>
        <w:tabs>
          <w:tab w:val="left" w:pos="1021"/>
        </w:tabs>
        <w:rPr>
          <w:rFonts w:hint="eastAsia" w:ascii="仿宋" w:hAnsi="仿宋" w:eastAsia="仿宋" w:cs="仿宋"/>
          <w:color w:val="auto"/>
          <w:szCs w:val="28"/>
          <w:highlight w:val="none"/>
        </w:rPr>
      </w:pPr>
    </w:p>
    <w:p>
      <w:pPr>
        <w:pStyle w:val="3"/>
        <w:numPr>
          <w:ilvl w:val="0"/>
          <w:numId w:val="0"/>
        </w:numPr>
        <w:spacing w:before="0" w:line="240" w:lineRule="auto"/>
        <w:ind w:left="425"/>
        <w:rPr>
          <w:rFonts w:hint="eastAsia" w:ascii="仿宋" w:hAnsi="仿宋" w:eastAsia="仿宋" w:cs="仿宋"/>
          <w:color w:val="auto"/>
          <w:szCs w:val="28"/>
          <w:highlight w:val="none"/>
        </w:rPr>
      </w:pPr>
      <w:r>
        <w:rPr>
          <w:rFonts w:hint="eastAsia" w:ascii="仿宋" w:hAnsi="仿宋" w:eastAsia="仿宋" w:cs="仿宋"/>
          <w:color w:val="auto"/>
          <w:szCs w:val="28"/>
          <w:highlight w:val="none"/>
        </w:rPr>
        <w:br w:type="page"/>
      </w:r>
      <w:bookmarkStart w:id="47" w:name="_Toc31449"/>
      <w:bookmarkStart w:id="48" w:name="_Toc24440"/>
      <w:bookmarkStart w:id="49" w:name="_Toc15323"/>
      <w:bookmarkStart w:id="50" w:name="_Toc16149"/>
      <w:bookmarkStart w:id="51" w:name="_Toc19318"/>
      <w:bookmarkStart w:id="52" w:name="_Toc14987"/>
      <w:bookmarkStart w:id="53" w:name="_Toc18800"/>
      <w:r>
        <w:rPr>
          <w:rFonts w:hint="eastAsia" w:ascii="仿宋" w:hAnsi="仿宋" w:eastAsia="仿宋" w:cs="仿宋"/>
          <w:color w:val="auto"/>
          <w:szCs w:val="28"/>
          <w:highlight w:val="none"/>
        </w:rPr>
        <w:t>一、总  则</w:t>
      </w:r>
      <w:bookmarkEnd w:id="47"/>
      <w:bookmarkEnd w:id="48"/>
      <w:bookmarkEnd w:id="49"/>
      <w:bookmarkEnd w:id="50"/>
      <w:bookmarkEnd w:id="51"/>
      <w:bookmarkEnd w:id="52"/>
      <w:bookmarkEnd w:id="53"/>
    </w:p>
    <w:p>
      <w:pPr>
        <w:pStyle w:val="4"/>
        <w:numPr>
          <w:ilvl w:val="0"/>
          <w:numId w:val="5"/>
        </w:numPr>
        <w:tabs>
          <w:tab w:val="clear" w:pos="1588"/>
        </w:tabs>
        <w:spacing w:before="0" w:after="0" w:line="460" w:lineRule="exact"/>
        <w:ind w:left="587"/>
        <w:jc w:val="both"/>
        <w:rPr>
          <w:rFonts w:hint="eastAsia" w:ascii="仿宋" w:hAnsi="仿宋" w:eastAsia="仿宋" w:cs="仿宋"/>
          <w:color w:val="auto"/>
          <w:szCs w:val="24"/>
          <w:highlight w:val="none"/>
        </w:rPr>
      </w:pPr>
      <w:bookmarkStart w:id="54" w:name="_Toc3235"/>
      <w:bookmarkStart w:id="55" w:name="_Toc6115"/>
      <w:bookmarkStart w:id="56" w:name="_Toc27201"/>
      <w:bookmarkStart w:id="57" w:name="_Toc22610"/>
      <w:bookmarkStart w:id="58" w:name="_Toc5928"/>
      <w:bookmarkStart w:id="59" w:name="_Toc11234"/>
      <w:bookmarkStart w:id="60" w:name="_Toc18421"/>
      <w:bookmarkStart w:id="61" w:name="_Toc32506"/>
      <w:bookmarkStart w:id="62" w:name="_Toc23282"/>
      <w:r>
        <w:rPr>
          <w:rFonts w:hint="eastAsia" w:ascii="仿宋" w:hAnsi="仿宋" w:eastAsia="仿宋" w:cs="仿宋"/>
          <w:color w:val="auto"/>
          <w:szCs w:val="24"/>
          <w:highlight w:val="none"/>
        </w:rPr>
        <w:t>项目概况</w:t>
      </w:r>
      <w:bookmarkEnd w:id="54"/>
      <w:bookmarkEnd w:id="55"/>
      <w:bookmarkEnd w:id="56"/>
      <w:bookmarkEnd w:id="57"/>
      <w:bookmarkEnd w:id="58"/>
      <w:bookmarkEnd w:id="59"/>
      <w:bookmarkEnd w:id="60"/>
      <w:bookmarkEnd w:id="61"/>
      <w:bookmarkEnd w:id="62"/>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1.1 根据有关法律、法规和规章的规定，本项目已具备招标条件，现对本项目采用比选方式</w:t>
      </w:r>
      <w:r>
        <w:rPr>
          <w:rFonts w:hint="eastAsia" w:ascii="仿宋" w:hAnsi="仿宋" w:eastAsia="仿宋" w:cs="仿宋"/>
          <w:color w:val="auto"/>
          <w:szCs w:val="21"/>
          <w:highlight w:val="none"/>
          <w:lang w:val="en-US" w:eastAsia="zh-CN"/>
        </w:rPr>
        <w:t>进行择优选择供货商</w:t>
      </w:r>
      <w:r>
        <w:rPr>
          <w:rFonts w:hint="eastAsia" w:ascii="仿宋" w:hAnsi="仿宋" w:eastAsia="仿宋" w:cs="仿宋"/>
          <w:color w:val="auto"/>
          <w:szCs w:val="21"/>
          <w:highlight w:val="none"/>
        </w:rPr>
        <w:t>。</w:t>
      </w:r>
    </w:p>
    <w:p>
      <w:pPr>
        <w:spacing w:line="460" w:lineRule="exact"/>
        <w:ind w:firstLine="420" w:firstLineChars="200"/>
        <w:jc w:val="left"/>
        <w:rPr>
          <w:rFonts w:hint="eastAsia" w:ascii="仿宋" w:hAnsi="仿宋" w:eastAsia="仿宋" w:cs="仿宋"/>
          <w:color w:val="auto"/>
          <w:sz w:val="24"/>
          <w:highlight w:val="none"/>
        </w:rPr>
      </w:pPr>
      <w:r>
        <w:rPr>
          <w:rFonts w:hint="eastAsia" w:ascii="仿宋" w:hAnsi="仿宋" w:eastAsia="仿宋" w:cs="仿宋"/>
          <w:color w:val="auto"/>
          <w:szCs w:val="21"/>
          <w:highlight w:val="none"/>
        </w:rPr>
        <w:t>1.2 本项目招标人、项目名称及项目编号：见“</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w:t>
      </w:r>
    </w:p>
    <w:p>
      <w:pPr>
        <w:pStyle w:val="4"/>
        <w:numPr>
          <w:ilvl w:val="0"/>
          <w:numId w:val="5"/>
        </w:numPr>
        <w:tabs>
          <w:tab w:val="clear" w:pos="1588"/>
        </w:tabs>
        <w:spacing w:before="0" w:after="0" w:line="460" w:lineRule="exact"/>
        <w:ind w:left="587"/>
        <w:jc w:val="both"/>
        <w:rPr>
          <w:rFonts w:hint="eastAsia" w:ascii="仿宋" w:hAnsi="仿宋" w:eastAsia="仿宋" w:cs="仿宋"/>
          <w:color w:val="auto"/>
          <w:szCs w:val="24"/>
          <w:highlight w:val="none"/>
        </w:rPr>
      </w:pPr>
      <w:bookmarkStart w:id="63" w:name="_Toc1547"/>
      <w:bookmarkStart w:id="64" w:name="_Toc25493"/>
      <w:bookmarkStart w:id="65" w:name="_Toc5033"/>
      <w:bookmarkStart w:id="66" w:name="_Toc25999"/>
      <w:bookmarkStart w:id="67" w:name="_Toc5558"/>
      <w:bookmarkStart w:id="68" w:name="_Toc21529"/>
      <w:bookmarkStart w:id="69" w:name="_Toc7766"/>
      <w:bookmarkStart w:id="70" w:name="_Toc8805"/>
      <w:bookmarkStart w:id="71" w:name="_Toc23409"/>
      <w:r>
        <w:rPr>
          <w:rFonts w:hint="eastAsia" w:ascii="仿宋" w:hAnsi="仿宋" w:eastAsia="仿宋" w:cs="仿宋"/>
          <w:color w:val="auto"/>
          <w:szCs w:val="24"/>
          <w:highlight w:val="none"/>
        </w:rPr>
        <w:t>资金来源</w:t>
      </w:r>
      <w:bookmarkEnd w:id="63"/>
      <w:bookmarkEnd w:id="64"/>
      <w:bookmarkEnd w:id="65"/>
      <w:bookmarkEnd w:id="66"/>
      <w:bookmarkEnd w:id="67"/>
      <w:bookmarkEnd w:id="68"/>
      <w:bookmarkEnd w:id="69"/>
      <w:bookmarkEnd w:id="70"/>
      <w:bookmarkEnd w:id="71"/>
      <w:r>
        <w:rPr>
          <w:rFonts w:hint="eastAsia" w:ascii="仿宋" w:hAnsi="仿宋" w:eastAsia="仿宋" w:cs="仿宋"/>
          <w:color w:val="auto"/>
          <w:szCs w:val="24"/>
          <w:highlight w:val="none"/>
        </w:rPr>
        <w:tab/>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2.1 “</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”中所述的招标人已获得一笔资金，用于采购“</w:t>
      </w:r>
      <w:r>
        <w:rPr>
          <w:rFonts w:hint="eastAsia" w:ascii="仿宋" w:hAnsi="仿宋" w:eastAsia="仿宋" w:cs="仿宋"/>
          <w:b/>
          <w:bCs/>
          <w:color w:val="auto"/>
          <w:szCs w:val="21"/>
          <w:highlight w:val="none"/>
        </w:rPr>
        <w:t>项目需求</w:t>
      </w:r>
      <w:r>
        <w:rPr>
          <w:rFonts w:hint="eastAsia" w:ascii="仿宋" w:hAnsi="仿宋" w:eastAsia="仿宋" w:cs="仿宋"/>
          <w:color w:val="auto"/>
          <w:szCs w:val="21"/>
          <w:highlight w:val="none"/>
        </w:rPr>
        <w:t>”中所列产品，项目预算金额见“</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w:t>
      </w:r>
    </w:p>
    <w:p>
      <w:pPr>
        <w:pStyle w:val="4"/>
        <w:numPr>
          <w:ilvl w:val="0"/>
          <w:numId w:val="5"/>
        </w:numPr>
        <w:tabs>
          <w:tab w:val="clear" w:pos="1588"/>
        </w:tabs>
        <w:spacing w:before="0" w:after="0" w:line="460" w:lineRule="exact"/>
        <w:ind w:left="587"/>
        <w:jc w:val="both"/>
        <w:rPr>
          <w:rFonts w:hint="eastAsia" w:ascii="仿宋" w:hAnsi="仿宋" w:eastAsia="仿宋" w:cs="仿宋"/>
          <w:color w:val="auto"/>
          <w:szCs w:val="24"/>
          <w:highlight w:val="none"/>
        </w:rPr>
      </w:pPr>
      <w:bookmarkStart w:id="72" w:name="_Toc32657"/>
      <w:bookmarkStart w:id="73" w:name="_Toc2465"/>
      <w:bookmarkStart w:id="74" w:name="_Toc18480"/>
      <w:bookmarkStart w:id="75" w:name="_Toc12401"/>
      <w:bookmarkStart w:id="76" w:name="_Toc15604"/>
      <w:bookmarkStart w:id="77" w:name="_Toc28231"/>
      <w:bookmarkStart w:id="78" w:name="_Toc12233"/>
      <w:bookmarkStart w:id="79" w:name="_Toc12445"/>
      <w:bookmarkStart w:id="80" w:name="_Toc30047"/>
      <w:r>
        <w:rPr>
          <w:rFonts w:hint="eastAsia" w:ascii="仿宋" w:hAnsi="仿宋" w:eastAsia="仿宋" w:cs="仿宋"/>
          <w:color w:val="auto"/>
          <w:szCs w:val="24"/>
          <w:highlight w:val="none"/>
        </w:rPr>
        <w:t>招标范围及</w:t>
      </w:r>
      <w:bookmarkEnd w:id="72"/>
      <w:bookmarkEnd w:id="73"/>
      <w:bookmarkEnd w:id="74"/>
      <w:bookmarkEnd w:id="75"/>
      <w:r>
        <w:rPr>
          <w:rFonts w:hint="eastAsia" w:ascii="仿宋" w:hAnsi="仿宋" w:eastAsia="仿宋" w:cs="仿宋"/>
          <w:color w:val="auto"/>
          <w:szCs w:val="24"/>
          <w:highlight w:val="none"/>
        </w:rPr>
        <w:t>合同履行期限</w:t>
      </w:r>
      <w:bookmarkEnd w:id="76"/>
      <w:bookmarkEnd w:id="77"/>
      <w:bookmarkEnd w:id="78"/>
      <w:bookmarkEnd w:id="79"/>
      <w:bookmarkEnd w:id="80"/>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3.1 本项目</w:t>
      </w:r>
      <w:r>
        <w:rPr>
          <w:rFonts w:hint="eastAsia" w:ascii="仿宋" w:hAnsi="仿宋" w:eastAsia="仿宋" w:cs="仿宋"/>
          <w:color w:val="auto"/>
          <w:szCs w:val="21"/>
          <w:highlight w:val="none"/>
          <w:lang w:eastAsia="zh-CN"/>
        </w:rPr>
        <w:t>招标内容</w:t>
      </w:r>
      <w:r>
        <w:rPr>
          <w:rFonts w:hint="eastAsia" w:ascii="仿宋" w:hAnsi="仿宋" w:eastAsia="仿宋" w:cs="仿宋"/>
          <w:color w:val="auto"/>
          <w:szCs w:val="21"/>
          <w:highlight w:val="none"/>
        </w:rPr>
        <w:t>：见“</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3.2 本项目</w:t>
      </w:r>
      <w:r>
        <w:rPr>
          <w:rFonts w:hint="eastAsia" w:ascii="仿宋" w:hAnsi="仿宋" w:eastAsia="仿宋" w:cs="仿宋"/>
          <w:color w:val="auto"/>
          <w:szCs w:val="21"/>
          <w:highlight w:val="none"/>
          <w:lang w:eastAsia="zh-CN"/>
        </w:rPr>
        <w:t>服务期</w:t>
      </w:r>
      <w:r>
        <w:rPr>
          <w:rFonts w:hint="eastAsia" w:ascii="仿宋" w:hAnsi="仿宋" w:eastAsia="仿宋" w:cs="仿宋"/>
          <w:color w:val="auto"/>
          <w:szCs w:val="21"/>
          <w:highlight w:val="none"/>
        </w:rPr>
        <w:t>：见</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3.3 本项目交货地点：见“投标人须知前附表”。</w:t>
      </w:r>
    </w:p>
    <w:p>
      <w:pPr>
        <w:pStyle w:val="4"/>
        <w:numPr>
          <w:ilvl w:val="0"/>
          <w:numId w:val="5"/>
        </w:numPr>
        <w:tabs>
          <w:tab w:val="clear" w:pos="1588"/>
        </w:tabs>
        <w:spacing w:before="0" w:after="0" w:line="460" w:lineRule="exact"/>
        <w:jc w:val="both"/>
        <w:rPr>
          <w:rFonts w:hint="eastAsia" w:ascii="仿宋" w:hAnsi="仿宋" w:eastAsia="仿宋" w:cs="仿宋"/>
          <w:color w:val="auto"/>
          <w:szCs w:val="24"/>
          <w:highlight w:val="none"/>
        </w:rPr>
      </w:pPr>
      <w:bookmarkStart w:id="81" w:name="_Toc28788"/>
      <w:bookmarkStart w:id="82" w:name="_Toc17498"/>
      <w:bookmarkStart w:id="83" w:name="_Toc10919"/>
      <w:bookmarkStart w:id="84" w:name="_Toc24632"/>
      <w:bookmarkStart w:id="85" w:name="_Toc29776"/>
      <w:bookmarkStart w:id="86" w:name="_Toc16043"/>
      <w:bookmarkStart w:id="87" w:name="_Toc23981"/>
      <w:bookmarkStart w:id="88" w:name="_Toc21674"/>
      <w:bookmarkStart w:id="89" w:name="_Toc18248"/>
      <w:r>
        <w:rPr>
          <w:rFonts w:hint="eastAsia" w:ascii="仿宋" w:hAnsi="仿宋" w:eastAsia="仿宋" w:cs="仿宋"/>
          <w:color w:val="auto"/>
          <w:szCs w:val="24"/>
          <w:highlight w:val="none"/>
        </w:rPr>
        <w:t>★合格的投标人（以下简称投标人）</w:t>
      </w:r>
      <w:bookmarkEnd w:id="81"/>
      <w:bookmarkEnd w:id="82"/>
      <w:bookmarkEnd w:id="83"/>
      <w:bookmarkEnd w:id="84"/>
      <w:bookmarkEnd w:id="85"/>
      <w:bookmarkEnd w:id="86"/>
      <w:bookmarkEnd w:id="87"/>
      <w:bookmarkEnd w:id="88"/>
      <w:bookmarkEnd w:id="89"/>
    </w:p>
    <w:p>
      <w:pPr>
        <w:autoSpaceDN w:val="0"/>
        <w:spacing w:line="460" w:lineRule="exact"/>
        <w:ind w:firstLine="420" w:firstLineChars="200"/>
        <w:rPr>
          <w:rFonts w:hint="eastAsia" w:ascii="仿宋" w:hAnsi="仿宋" w:eastAsia="仿宋" w:cs="仿宋"/>
          <w:bCs/>
          <w:color w:val="auto"/>
          <w:szCs w:val="21"/>
          <w:highlight w:val="none"/>
        </w:rPr>
      </w:pPr>
      <w:r>
        <w:rPr>
          <w:rFonts w:hint="eastAsia" w:ascii="仿宋" w:hAnsi="仿宋" w:eastAsia="仿宋" w:cs="仿宋"/>
          <w:bCs/>
          <w:color w:val="auto"/>
          <w:szCs w:val="21"/>
          <w:highlight w:val="none"/>
        </w:rPr>
        <w:t>4.1 投标人资格要求：</w:t>
      </w:r>
      <w:r>
        <w:rPr>
          <w:rFonts w:hint="eastAsia" w:ascii="仿宋" w:hAnsi="仿宋" w:eastAsia="仿宋" w:cs="仿宋"/>
          <w:color w:val="auto"/>
          <w:szCs w:val="21"/>
          <w:highlight w:val="none"/>
        </w:rPr>
        <w:t>见</w:t>
      </w:r>
      <w:r>
        <w:rPr>
          <w:rFonts w:hint="eastAsia" w:ascii="仿宋" w:hAnsi="仿宋" w:eastAsia="仿宋" w:cs="仿宋"/>
          <w:b/>
          <w:color w:val="auto"/>
          <w:szCs w:val="21"/>
          <w:highlight w:val="none"/>
        </w:rPr>
        <w:t>“投标人须知前附表”</w:t>
      </w:r>
      <w:r>
        <w:rPr>
          <w:rFonts w:hint="eastAsia" w:ascii="仿宋" w:hAnsi="仿宋" w:eastAsia="仿宋" w:cs="仿宋"/>
          <w:bCs/>
          <w:color w:val="auto"/>
          <w:szCs w:val="21"/>
          <w:highlight w:val="none"/>
        </w:rPr>
        <w:t>。</w:t>
      </w:r>
    </w:p>
    <w:p>
      <w:pPr>
        <w:pStyle w:val="16"/>
        <w:spacing w:line="460" w:lineRule="exact"/>
        <w:ind w:firstLine="422" w:firstLineChars="201"/>
        <w:jc w:val="both"/>
        <w:rPr>
          <w:rFonts w:hint="eastAsia" w:ascii="仿宋" w:hAnsi="仿宋" w:eastAsia="仿宋" w:cs="仿宋"/>
          <w:bCs/>
          <w:color w:val="auto"/>
          <w:sz w:val="21"/>
          <w:szCs w:val="21"/>
          <w:highlight w:val="none"/>
        </w:rPr>
      </w:pPr>
      <w:r>
        <w:rPr>
          <w:rFonts w:hint="eastAsia" w:ascii="仿宋" w:hAnsi="仿宋" w:eastAsia="仿宋" w:cs="仿宋"/>
          <w:bCs/>
          <w:color w:val="auto"/>
          <w:sz w:val="21"/>
          <w:szCs w:val="21"/>
          <w:highlight w:val="none"/>
        </w:rPr>
        <w:t>4.</w:t>
      </w:r>
      <w:r>
        <w:rPr>
          <w:rFonts w:hint="eastAsia" w:ascii="仿宋" w:hAnsi="仿宋" w:eastAsia="仿宋" w:cs="仿宋"/>
          <w:bCs/>
          <w:color w:val="auto"/>
          <w:sz w:val="21"/>
          <w:szCs w:val="21"/>
          <w:highlight w:val="none"/>
          <w:lang w:val="en-US" w:eastAsia="zh-CN"/>
        </w:rPr>
        <w:t>2</w:t>
      </w:r>
      <w:r>
        <w:rPr>
          <w:rFonts w:hint="eastAsia" w:ascii="仿宋" w:hAnsi="仿宋" w:eastAsia="仿宋" w:cs="仿宋"/>
          <w:bCs/>
          <w:color w:val="auto"/>
          <w:sz w:val="21"/>
          <w:szCs w:val="21"/>
          <w:highlight w:val="none"/>
        </w:rPr>
        <w:t xml:space="preserve"> 本项目不接受联合体比选。</w:t>
      </w:r>
    </w:p>
    <w:p>
      <w:pPr>
        <w:spacing w:line="460" w:lineRule="exact"/>
        <w:ind w:firstLine="420" w:firstLineChars="200"/>
        <w:jc w:val="left"/>
        <w:rPr>
          <w:rFonts w:hint="eastAsia" w:ascii="仿宋" w:hAnsi="仿宋" w:eastAsia="仿宋" w:cs="仿宋"/>
          <w:color w:val="auto"/>
          <w:sz w:val="24"/>
          <w:highlight w:val="none"/>
        </w:rPr>
      </w:pPr>
      <w:r>
        <w:rPr>
          <w:rFonts w:hint="eastAsia" w:ascii="仿宋" w:hAnsi="仿宋" w:eastAsia="仿宋" w:cs="仿宋"/>
          <w:color w:val="auto"/>
          <w:szCs w:val="21"/>
          <w:highlight w:val="none"/>
        </w:rPr>
        <w:t>4.</w:t>
      </w:r>
      <w:r>
        <w:rPr>
          <w:rFonts w:hint="eastAsia" w:ascii="仿宋" w:hAnsi="仿宋" w:eastAsia="仿宋" w:cs="仿宋"/>
          <w:color w:val="auto"/>
          <w:szCs w:val="21"/>
          <w:highlight w:val="none"/>
          <w:lang w:val="en-US" w:eastAsia="zh-CN"/>
        </w:rPr>
        <w:t>3</w:t>
      </w:r>
      <w:r>
        <w:rPr>
          <w:rFonts w:hint="eastAsia" w:ascii="仿宋" w:hAnsi="仿宋" w:eastAsia="仿宋" w:cs="仿宋"/>
          <w:color w:val="auto"/>
          <w:szCs w:val="21"/>
          <w:highlight w:val="none"/>
        </w:rPr>
        <w:t xml:space="preserve"> 符合上述条件的投标人应承担比选及履约中应承担的全部责任与义务。</w:t>
      </w:r>
    </w:p>
    <w:p>
      <w:pPr>
        <w:pStyle w:val="4"/>
        <w:numPr>
          <w:ilvl w:val="0"/>
          <w:numId w:val="5"/>
        </w:numPr>
        <w:tabs>
          <w:tab w:val="clear" w:pos="1588"/>
        </w:tabs>
        <w:spacing w:before="0" w:after="0" w:line="460" w:lineRule="exact"/>
        <w:jc w:val="both"/>
        <w:rPr>
          <w:rFonts w:hint="eastAsia" w:ascii="仿宋" w:hAnsi="仿宋" w:eastAsia="仿宋" w:cs="仿宋"/>
          <w:color w:val="auto"/>
          <w:szCs w:val="24"/>
          <w:highlight w:val="none"/>
        </w:rPr>
      </w:pPr>
      <w:bookmarkStart w:id="90" w:name="_Toc18587"/>
      <w:bookmarkStart w:id="91" w:name="_Toc23791"/>
      <w:bookmarkStart w:id="92" w:name="_Toc3895"/>
      <w:bookmarkStart w:id="93" w:name="_Toc26082"/>
      <w:bookmarkStart w:id="94" w:name="_Toc16028"/>
      <w:bookmarkStart w:id="95" w:name="_Toc17686"/>
      <w:bookmarkStart w:id="96" w:name="_Toc18944"/>
      <w:bookmarkStart w:id="97" w:name="_Toc12440"/>
      <w:bookmarkStart w:id="98" w:name="_Toc5791"/>
      <w:r>
        <w:rPr>
          <w:rFonts w:hint="eastAsia" w:ascii="仿宋" w:hAnsi="仿宋" w:eastAsia="仿宋" w:cs="仿宋"/>
          <w:color w:val="auto"/>
          <w:szCs w:val="24"/>
          <w:highlight w:val="none"/>
        </w:rPr>
        <w:t>比选费用</w:t>
      </w:r>
      <w:bookmarkEnd w:id="90"/>
      <w:bookmarkEnd w:id="91"/>
      <w:bookmarkEnd w:id="92"/>
      <w:bookmarkEnd w:id="93"/>
      <w:bookmarkEnd w:id="94"/>
      <w:bookmarkEnd w:id="95"/>
      <w:bookmarkEnd w:id="96"/>
      <w:bookmarkEnd w:id="97"/>
      <w:bookmarkEnd w:id="98"/>
    </w:p>
    <w:p>
      <w:pPr>
        <w:spacing w:line="460" w:lineRule="exact"/>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1"/>
          <w:highlight w:val="none"/>
        </w:rPr>
        <w:t>无论是否成交，投标人自行承担所有与参加比选有关的全部费用。</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99" w:name="_Toc1945"/>
      <w:bookmarkStart w:id="100" w:name="_Toc32539"/>
      <w:bookmarkStart w:id="101" w:name="_Toc18361"/>
      <w:bookmarkStart w:id="102" w:name="_Toc26439"/>
      <w:bookmarkStart w:id="103" w:name="_Toc4676"/>
      <w:bookmarkStart w:id="104" w:name="_Toc25908"/>
      <w:bookmarkStart w:id="105" w:name="_Toc31781"/>
      <w:r>
        <w:rPr>
          <w:rFonts w:hint="eastAsia" w:ascii="仿宋" w:hAnsi="仿宋" w:eastAsia="仿宋" w:cs="仿宋"/>
          <w:color w:val="auto"/>
          <w:szCs w:val="28"/>
          <w:highlight w:val="none"/>
        </w:rPr>
        <w:t>二、比选文件</w:t>
      </w:r>
      <w:bookmarkEnd w:id="99"/>
      <w:bookmarkEnd w:id="100"/>
      <w:bookmarkEnd w:id="101"/>
      <w:bookmarkEnd w:id="102"/>
      <w:bookmarkEnd w:id="103"/>
      <w:bookmarkEnd w:id="104"/>
      <w:bookmarkEnd w:id="105"/>
    </w:p>
    <w:p>
      <w:pPr>
        <w:pStyle w:val="4"/>
        <w:numPr>
          <w:ilvl w:val="0"/>
          <w:numId w:val="6"/>
        </w:numPr>
        <w:tabs>
          <w:tab w:val="clear" w:pos="1588"/>
        </w:tabs>
        <w:spacing w:before="0" w:after="0" w:line="460" w:lineRule="exact"/>
        <w:jc w:val="both"/>
        <w:rPr>
          <w:rFonts w:hint="eastAsia" w:ascii="仿宋" w:hAnsi="仿宋" w:eastAsia="仿宋" w:cs="仿宋"/>
          <w:color w:val="auto"/>
          <w:szCs w:val="24"/>
          <w:highlight w:val="none"/>
        </w:rPr>
      </w:pPr>
      <w:bookmarkStart w:id="106" w:name="_Toc28090"/>
      <w:bookmarkStart w:id="107" w:name="_Toc6320"/>
      <w:bookmarkStart w:id="108" w:name="_Toc2544"/>
      <w:bookmarkStart w:id="109" w:name="_Toc25299"/>
      <w:bookmarkStart w:id="110" w:name="_Toc28556"/>
      <w:bookmarkStart w:id="111" w:name="_Toc18193"/>
      <w:bookmarkStart w:id="112" w:name="_Toc24836"/>
      <w:bookmarkStart w:id="113" w:name="_Toc29277"/>
      <w:bookmarkStart w:id="114" w:name="_Toc3775"/>
      <w:r>
        <w:rPr>
          <w:rFonts w:hint="eastAsia" w:ascii="仿宋" w:hAnsi="仿宋" w:eastAsia="仿宋" w:cs="仿宋"/>
          <w:color w:val="auto"/>
          <w:szCs w:val="24"/>
          <w:highlight w:val="none"/>
        </w:rPr>
        <w:t>比选文件的组成</w:t>
      </w:r>
      <w:bookmarkEnd w:id="106"/>
      <w:bookmarkEnd w:id="107"/>
      <w:bookmarkEnd w:id="108"/>
      <w:bookmarkEnd w:id="109"/>
      <w:bookmarkEnd w:id="110"/>
      <w:bookmarkEnd w:id="111"/>
      <w:bookmarkEnd w:id="112"/>
      <w:bookmarkEnd w:id="113"/>
      <w:bookmarkEnd w:id="114"/>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要求提供的服务、采购过程及合同条款在比选文件中均有说明，比选文件共六章，各章的内容如下：</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第一章  比选公告</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第二章  投标人须知</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第三章  响应文件格式</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第四章  项目需求</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第五章  评审办法</w:t>
      </w:r>
    </w:p>
    <w:p>
      <w:pPr>
        <w:pStyle w:val="4"/>
        <w:numPr>
          <w:ilvl w:val="0"/>
          <w:numId w:val="6"/>
        </w:numPr>
        <w:tabs>
          <w:tab w:val="clear" w:pos="1588"/>
        </w:tabs>
        <w:spacing w:before="0" w:after="0" w:line="460" w:lineRule="exact"/>
        <w:ind w:left="587"/>
        <w:jc w:val="both"/>
        <w:rPr>
          <w:rFonts w:hint="eastAsia" w:ascii="仿宋" w:hAnsi="仿宋" w:eastAsia="仿宋" w:cs="仿宋"/>
          <w:color w:val="auto"/>
          <w:szCs w:val="24"/>
          <w:highlight w:val="none"/>
        </w:rPr>
      </w:pPr>
      <w:bookmarkStart w:id="115" w:name="_Toc6725"/>
      <w:bookmarkStart w:id="116" w:name="_Toc31968"/>
      <w:bookmarkStart w:id="117" w:name="_Toc25923"/>
      <w:bookmarkStart w:id="118" w:name="_Toc13301"/>
      <w:bookmarkStart w:id="119" w:name="_Toc6844"/>
      <w:bookmarkStart w:id="120" w:name="_Toc2347"/>
      <w:bookmarkStart w:id="121" w:name="_Toc27917"/>
      <w:bookmarkStart w:id="122" w:name="_Toc8436"/>
      <w:bookmarkStart w:id="123" w:name="_Toc11912"/>
      <w:r>
        <w:rPr>
          <w:rFonts w:hint="eastAsia" w:ascii="仿宋" w:hAnsi="仿宋" w:eastAsia="仿宋" w:cs="仿宋"/>
          <w:color w:val="auto"/>
          <w:szCs w:val="24"/>
          <w:highlight w:val="none"/>
        </w:rPr>
        <w:t>比选文件的澄清、修改</w:t>
      </w:r>
      <w:bookmarkEnd w:id="115"/>
      <w:bookmarkEnd w:id="116"/>
      <w:bookmarkEnd w:id="117"/>
      <w:bookmarkEnd w:id="118"/>
      <w:bookmarkEnd w:id="119"/>
      <w:bookmarkEnd w:id="120"/>
      <w:bookmarkEnd w:id="121"/>
      <w:bookmarkEnd w:id="122"/>
      <w:bookmarkEnd w:id="123"/>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投标人应认真阅读比选文件，如有疑问的，投标人可以在“投标人须知前附表”规定截止时间前以澄清函形式（加盖单位公章）要求招标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澄清，截止时间后送达的澄清要求概不接受。</w:t>
      </w:r>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将以书面形式答复所有获取比选文件的投标人（答复中不包含问题的来源）要求澄清的问题，其他澄清方式无效。</w:t>
      </w:r>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招标人可以视采购具体情况，推迟递交响应文件截止时间，并将变更时间书面通知所有获取比选文件的投标人。</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124" w:name="_Toc12051"/>
      <w:bookmarkStart w:id="125" w:name="_Toc28101"/>
      <w:bookmarkStart w:id="126" w:name="_Toc15754"/>
      <w:bookmarkStart w:id="127" w:name="_Toc32557"/>
      <w:bookmarkStart w:id="128" w:name="_Toc10677"/>
      <w:bookmarkStart w:id="129" w:name="_Toc26660"/>
      <w:bookmarkStart w:id="130" w:name="_Toc3889"/>
      <w:r>
        <w:rPr>
          <w:rFonts w:hint="eastAsia" w:ascii="仿宋" w:hAnsi="仿宋" w:eastAsia="仿宋" w:cs="仿宋"/>
          <w:color w:val="auto"/>
          <w:szCs w:val="28"/>
          <w:highlight w:val="none"/>
        </w:rPr>
        <w:t>三、响应文件的编制</w:t>
      </w:r>
      <w:bookmarkEnd w:id="124"/>
      <w:bookmarkEnd w:id="125"/>
      <w:bookmarkEnd w:id="126"/>
      <w:bookmarkEnd w:id="127"/>
      <w:bookmarkEnd w:id="128"/>
      <w:bookmarkEnd w:id="129"/>
      <w:bookmarkEnd w:id="130"/>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31" w:name="_Toc13820"/>
      <w:bookmarkStart w:id="132" w:name="_Toc11568"/>
      <w:bookmarkStart w:id="133" w:name="_Toc24142"/>
      <w:bookmarkStart w:id="134" w:name="_Toc14201"/>
      <w:bookmarkStart w:id="135" w:name="_Toc6030"/>
      <w:bookmarkStart w:id="136" w:name="_Toc6711"/>
      <w:bookmarkStart w:id="137" w:name="_Toc16810"/>
      <w:bookmarkStart w:id="138" w:name="_Toc8741"/>
      <w:bookmarkStart w:id="139" w:name="_Toc25960"/>
      <w:r>
        <w:rPr>
          <w:rFonts w:hint="eastAsia" w:ascii="仿宋" w:hAnsi="仿宋" w:eastAsia="仿宋" w:cs="仿宋"/>
          <w:color w:val="auto"/>
          <w:szCs w:val="24"/>
          <w:highlight w:val="none"/>
        </w:rPr>
        <w:t>响应文件编写注意事项</w:t>
      </w:r>
      <w:bookmarkEnd w:id="131"/>
      <w:bookmarkEnd w:id="132"/>
      <w:bookmarkEnd w:id="133"/>
      <w:bookmarkEnd w:id="134"/>
      <w:bookmarkEnd w:id="135"/>
      <w:bookmarkEnd w:id="136"/>
      <w:bookmarkEnd w:id="137"/>
      <w:bookmarkEnd w:id="138"/>
      <w:bookmarkEnd w:id="139"/>
    </w:p>
    <w:p>
      <w:pPr>
        <w:numPr>
          <w:ilvl w:val="1"/>
          <w:numId w:val="9"/>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投标人应仔细阅读比选文件，在完全了解采购的内容、技术性能要求（见第五章“项目需求”）和商务条件后，编写响应文件。</w:t>
      </w:r>
    </w:p>
    <w:p>
      <w:pPr>
        <w:numPr>
          <w:ilvl w:val="1"/>
          <w:numId w:val="9"/>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对比选文件提出的实质性要求作出响应是指投标人必须对比选文件中规定的实质性要求作出满足或者优于原要求的承诺。</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40" w:name="_Toc24310"/>
      <w:bookmarkStart w:id="141" w:name="_Toc4896"/>
      <w:bookmarkStart w:id="142" w:name="_Toc23974"/>
      <w:bookmarkStart w:id="143" w:name="_Toc16328"/>
      <w:bookmarkStart w:id="144" w:name="_Toc28562"/>
      <w:bookmarkStart w:id="145" w:name="_Toc18393"/>
      <w:bookmarkStart w:id="146" w:name="_Toc18291"/>
      <w:bookmarkStart w:id="147" w:name="_Toc9212"/>
      <w:bookmarkStart w:id="148" w:name="_Toc2887"/>
      <w:r>
        <w:rPr>
          <w:rFonts w:hint="eastAsia" w:ascii="仿宋" w:hAnsi="仿宋" w:eastAsia="仿宋" w:cs="仿宋"/>
          <w:color w:val="auto"/>
          <w:szCs w:val="24"/>
          <w:highlight w:val="none"/>
        </w:rPr>
        <w:t>响应文件构成</w:t>
      </w:r>
      <w:bookmarkEnd w:id="140"/>
      <w:bookmarkEnd w:id="141"/>
      <w:bookmarkEnd w:id="142"/>
      <w:bookmarkEnd w:id="143"/>
      <w:bookmarkEnd w:id="144"/>
      <w:bookmarkEnd w:id="145"/>
      <w:bookmarkEnd w:id="146"/>
      <w:bookmarkEnd w:id="147"/>
      <w:bookmarkEnd w:id="148"/>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2</w:t>
      </w:r>
      <w:r>
        <w:rPr>
          <w:rFonts w:hint="eastAsia" w:ascii="仿宋" w:hAnsi="仿宋" w:eastAsia="仿宋" w:cs="仿宋"/>
          <w:color w:val="auto"/>
          <w:szCs w:val="21"/>
          <w:highlight w:val="none"/>
        </w:rPr>
        <w:t>.1 投标人编写的响应文件按第四章“响应文件格式”提供的格式及要求填写，并按顺序装订成册。</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49" w:name="_Toc21312"/>
      <w:bookmarkStart w:id="150" w:name="_Toc18203"/>
      <w:bookmarkStart w:id="151" w:name="_Toc19417"/>
      <w:bookmarkStart w:id="152" w:name="_Toc31178"/>
      <w:bookmarkStart w:id="153" w:name="_Toc807"/>
      <w:bookmarkStart w:id="154" w:name="_Toc15896"/>
      <w:bookmarkStart w:id="155" w:name="_Toc25119"/>
      <w:bookmarkStart w:id="156" w:name="_Toc12104"/>
      <w:bookmarkStart w:id="157" w:name="_Toc28180"/>
      <w:r>
        <w:rPr>
          <w:rFonts w:hint="eastAsia" w:ascii="仿宋" w:hAnsi="仿宋" w:eastAsia="仿宋" w:cs="仿宋"/>
          <w:color w:val="auto"/>
          <w:szCs w:val="24"/>
          <w:highlight w:val="none"/>
        </w:rPr>
        <w:t>报价和报价货币</w:t>
      </w:r>
      <w:bookmarkEnd w:id="149"/>
      <w:bookmarkEnd w:id="150"/>
      <w:bookmarkEnd w:id="151"/>
      <w:bookmarkEnd w:id="152"/>
      <w:bookmarkEnd w:id="153"/>
      <w:bookmarkEnd w:id="154"/>
      <w:bookmarkEnd w:id="155"/>
      <w:bookmarkEnd w:id="156"/>
      <w:bookmarkEnd w:id="157"/>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报价指本次服务的总报价，包含完成本项目服务内容所需的一切费用。</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投标人应就“项目需求”中的服务内容作完整唯一报价。</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为包干总价。合同一旦签订，此价格在合同实施期间将不因市场价格等的变化而调整。</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报价货币为人民币。</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58" w:name="_Toc4431"/>
      <w:bookmarkStart w:id="159" w:name="_Toc30518"/>
      <w:bookmarkStart w:id="160" w:name="_Toc17608"/>
      <w:bookmarkStart w:id="161" w:name="_Toc5948"/>
      <w:bookmarkStart w:id="162" w:name="_Toc26047"/>
      <w:bookmarkStart w:id="163" w:name="_Toc9717"/>
      <w:bookmarkStart w:id="164" w:name="_Toc5496"/>
      <w:bookmarkStart w:id="165" w:name="_Toc14166"/>
      <w:bookmarkStart w:id="166" w:name="_Toc22694"/>
      <w:r>
        <w:rPr>
          <w:rFonts w:hint="eastAsia" w:ascii="仿宋" w:hAnsi="仿宋" w:eastAsia="仿宋" w:cs="仿宋"/>
          <w:color w:val="auto"/>
          <w:szCs w:val="24"/>
          <w:highlight w:val="none"/>
        </w:rPr>
        <w:t>有效期</w:t>
      </w:r>
      <w:bookmarkEnd w:id="158"/>
      <w:bookmarkEnd w:id="159"/>
      <w:bookmarkEnd w:id="160"/>
      <w:bookmarkEnd w:id="161"/>
      <w:bookmarkEnd w:id="162"/>
      <w:bookmarkEnd w:id="163"/>
      <w:bookmarkEnd w:id="164"/>
      <w:bookmarkEnd w:id="165"/>
      <w:bookmarkEnd w:id="166"/>
    </w:p>
    <w:p>
      <w:pPr>
        <w:numPr>
          <w:ilvl w:val="1"/>
          <w:numId w:val="11"/>
        </w:numPr>
        <w:spacing w:line="460" w:lineRule="exact"/>
        <w:ind w:left="374" w:leftChars="0" w:hanging="374"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在“</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”规定的有效期内，投标人不得要求撤销或修改其响应文件。</w:t>
      </w:r>
    </w:p>
    <w:p>
      <w:pPr>
        <w:numPr>
          <w:ilvl w:val="1"/>
          <w:numId w:val="11"/>
        </w:numPr>
        <w:spacing w:line="460" w:lineRule="exact"/>
        <w:ind w:left="374" w:leftChars="0" w:hanging="374" w:firstLineChars="0"/>
        <w:jc w:val="left"/>
        <w:rPr>
          <w:rFonts w:hint="eastAsia" w:ascii="仿宋" w:hAnsi="仿宋" w:eastAsia="仿宋" w:cs="仿宋"/>
          <w:color w:val="auto"/>
          <w:sz w:val="24"/>
          <w:highlight w:val="none"/>
        </w:rPr>
      </w:pPr>
      <w:r>
        <w:rPr>
          <w:rFonts w:hint="eastAsia" w:ascii="仿宋" w:hAnsi="仿宋" w:eastAsia="仿宋" w:cs="仿宋"/>
          <w:color w:val="auto"/>
          <w:szCs w:val="21"/>
          <w:highlight w:val="none"/>
        </w:rPr>
        <w:t>因特殊情况需要延长有效期的，招标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以书面形式通知所有投标人延长有效期。投标人同意延长的，应相应延长其保证金的有效期，但不得要求或被允许修改或撤销其响应文件；投标人拒绝延长的，其比选申请失效，但投标人有权收回其保证金。</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67" w:name="_Toc2016"/>
      <w:bookmarkStart w:id="168" w:name="_Toc778"/>
      <w:bookmarkStart w:id="169" w:name="_Toc16248"/>
      <w:bookmarkStart w:id="170" w:name="_Toc28335"/>
      <w:bookmarkStart w:id="171" w:name="_Toc25546"/>
      <w:bookmarkStart w:id="172" w:name="_Toc3718"/>
      <w:bookmarkStart w:id="173" w:name="_Toc3188"/>
      <w:bookmarkStart w:id="174" w:name="_Toc16323"/>
      <w:bookmarkStart w:id="175" w:name="_Toc10759"/>
      <w:r>
        <w:rPr>
          <w:rFonts w:hint="eastAsia" w:ascii="仿宋" w:hAnsi="仿宋" w:eastAsia="仿宋" w:cs="仿宋"/>
          <w:color w:val="auto"/>
          <w:szCs w:val="24"/>
          <w:highlight w:val="none"/>
        </w:rPr>
        <w:t>响应文件的书写要求</w:t>
      </w:r>
      <w:bookmarkEnd w:id="167"/>
      <w:bookmarkEnd w:id="168"/>
      <w:bookmarkEnd w:id="169"/>
      <w:bookmarkEnd w:id="170"/>
      <w:bookmarkEnd w:id="171"/>
      <w:bookmarkEnd w:id="172"/>
      <w:bookmarkEnd w:id="173"/>
      <w:bookmarkEnd w:id="174"/>
      <w:bookmarkEnd w:id="175"/>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响应文件须用不褪色的墨水书写或打印。并按比选文件要求由投标人的法定代表人或其委托代理人签字并盖单位章。</w:t>
      </w:r>
      <w:r>
        <w:rPr>
          <w:rFonts w:hint="eastAsia" w:ascii="仿宋" w:hAnsi="仿宋" w:eastAsia="仿宋" w:cs="仿宋"/>
          <w:b/>
          <w:color w:val="auto"/>
          <w:szCs w:val="21"/>
          <w:highlight w:val="none"/>
        </w:rPr>
        <w:t>委托代理人签字的，响应文件应附法定代表人签署的授权委托书。</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响应文件应尽量避免涂改、行间插字或删除。如果出现上述情况，改动之处应加盖单位章或投标人法定代表人或其授权的代理人签字确认。</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字迹潦草、表达不清、未按要求填写而导致非唯一理解，造成未实质性响应比选文件的响应文件将会被认定为无效的比选申请。因复印模糊，导致资料无法辨认的，视为未提供该资料。</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响应文件应准备正本一份，并按“投标人须知前附表”中规定的数量准备文件的副本。响应文件封面上应标明“正本”或“副本”。若正本和副本不符，以正本为准，副本可以采用正本的复印件。</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响应文件正本与副本均应采用A4幅面纸张编制。</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76" w:name="_Toc4551"/>
      <w:bookmarkStart w:id="177" w:name="_Toc20875"/>
      <w:bookmarkStart w:id="178" w:name="_Toc25523"/>
      <w:bookmarkStart w:id="179" w:name="_Toc638"/>
      <w:bookmarkStart w:id="180" w:name="_Toc28324"/>
      <w:bookmarkStart w:id="181" w:name="_Toc30078"/>
      <w:bookmarkStart w:id="182" w:name="_Toc16541"/>
      <w:bookmarkStart w:id="183" w:name="_Toc549"/>
      <w:bookmarkStart w:id="184" w:name="_Toc15510"/>
      <w:r>
        <w:rPr>
          <w:rFonts w:hint="eastAsia" w:ascii="仿宋" w:hAnsi="仿宋" w:eastAsia="仿宋" w:cs="仿宋"/>
          <w:color w:val="auto"/>
          <w:szCs w:val="24"/>
          <w:highlight w:val="none"/>
          <w:lang w:val="en-US" w:eastAsia="zh-CN"/>
        </w:rPr>
        <w:t>比选</w:t>
      </w:r>
      <w:r>
        <w:rPr>
          <w:rFonts w:hint="eastAsia" w:ascii="仿宋" w:hAnsi="仿宋" w:eastAsia="仿宋" w:cs="仿宋"/>
          <w:color w:val="auto"/>
          <w:szCs w:val="24"/>
          <w:highlight w:val="none"/>
        </w:rPr>
        <w:t>保证金</w:t>
      </w:r>
      <w:bookmarkEnd w:id="176"/>
      <w:bookmarkEnd w:id="177"/>
      <w:bookmarkEnd w:id="178"/>
      <w:bookmarkEnd w:id="179"/>
      <w:bookmarkEnd w:id="180"/>
      <w:bookmarkEnd w:id="181"/>
      <w:bookmarkEnd w:id="182"/>
      <w:bookmarkEnd w:id="183"/>
      <w:bookmarkEnd w:id="184"/>
    </w:p>
    <w:p>
      <w:pPr>
        <w:pStyle w:val="3"/>
        <w:numPr>
          <w:ilvl w:val="0"/>
          <w:numId w:val="0"/>
        </w:numPr>
        <w:spacing w:before="0" w:after="0" w:line="460" w:lineRule="exact"/>
        <w:ind w:left="425"/>
        <w:jc w:val="left"/>
        <w:rPr>
          <w:rFonts w:hint="eastAsia" w:ascii="仿宋" w:hAnsi="仿宋" w:eastAsia="仿宋" w:cs="仿宋"/>
          <w:b w:val="0"/>
          <w:bCs w:val="0"/>
          <w:color w:val="auto"/>
          <w:kern w:val="2"/>
          <w:sz w:val="21"/>
          <w:szCs w:val="21"/>
          <w:highlight w:val="none"/>
          <w:lang w:val="en-US" w:eastAsia="zh-CN" w:bidi="ar-SA"/>
        </w:rPr>
      </w:pPr>
      <w:bookmarkStart w:id="185" w:name="_Toc4559"/>
      <w:bookmarkStart w:id="186" w:name="_Toc757"/>
      <w:bookmarkStart w:id="187" w:name="_Toc15162"/>
      <w:bookmarkStart w:id="188" w:name="_Toc23272"/>
      <w:bookmarkStart w:id="189" w:name="_Toc13244"/>
      <w:bookmarkStart w:id="190" w:name="_Toc30616"/>
      <w:bookmarkStart w:id="191" w:name="_Toc16348"/>
      <w:bookmarkStart w:id="192" w:name="_Toc5244"/>
      <w:r>
        <w:rPr>
          <w:rFonts w:hint="eastAsia" w:ascii="仿宋" w:hAnsi="仿宋" w:eastAsia="仿宋" w:cs="仿宋"/>
          <w:b w:val="0"/>
          <w:bCs w:val="0"/>
          <w:color w:val="auto"/>
          <w:kern w:val="2"/>
          <w:sz w:val="21"/>
          <w:szCs w:val="21"/>
          <w:highlight w:val="none"/>
          <w:lang w:val="en-US" w:eastAsia="zh-CN" w:bidi="ar-SA"/>
        </w:rPr>
        <w:t>本项目不收取比选保证金。</w:t>
      </w:r>
      <w:bookmarkEnd w:id="185"/>
      <w:bookmarkEnd w:id="186"/>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193" w:name="_Toc14633"/>
      <w:r>
        <w:rPr>
          <w:rFonts w:hint="eastAsia" w:ascii="仿宋" w:hAnsi="仿宋" w:eastAsia="仿宋" w:cs="仿宋"/>
          <w:color w:val="auto"/>
          <w:szCs w:val="28"/>
          <w:highlight w:val="none"/>
        </w:rPr>
        <w:t>四、响应文件的提交</w:t>
      </w:r>
      <w:bookmarkEnd w:id="187"/>
      <w:bookmarkEnd w:id="188"/>
      <w:bookmarkEnd w:id="189"/>
      <w:bookmarkEnd w:id="190"/>
      <w:bookmarkEnd w:id="191"/>
      <w:bookmarkEnd w:id="192"/>
      <w:bookmarkEnd w:id="193"/>
    </w:p>
    <w:p>
      <w:pPr>
        <w:pStyle w:val="4"/>
        <w:numPr>
          <w:ilvl w:val="0"/>
          <w:numId w:val="13"/>
        </w:numPr>
        <w:tabs>
          <w:tab w:val="clear" w:pos="1588"/>
        </w:tabs>
        <w:spacing w:before="0" w:after="0" w:line="460" w:lineRule="exact"/>
        <w:ind w:left="587"/>
        <w:jc w:val="both"/>
        <w:rPr>
          <w:rFonts w:hint="eastAsia" w:ascii="仿宋" w:hAnsi="仿宋" w:eastAsia="仿宋" w:cs="仿宋"/>
          <w:color w:val="auto"/>
          <w:szCs w:val="24"/>
          <w:highlight w:val="none"/>
        </w:rPr>
      </w:pPr>
      <w:bookmarkStart w:id="194" w:name="_Toc9158"/>
      <w:bookmarkStart w:id="195" w:name="_Toc24609"/>
      <w:bookmarkStart w:id="196" w:name="_Toc31052"/>
      <w:bookmarkStart w:id="197" w:name="_Toc6683"/>
      <w:bookmarkStart w:id="198" w:name="_Toc23651"/>
      <w:bookmarkStart w:id="199" w:name="_Toc23438"/>
      <w:bookmarkStart w:id="200" w:name="_Toc25824"/>
      <w:bookmarkStart w:id="201" w:name="_Toc12358"/>
      <w:bookmarkStart w:id="202" w:name="_Toc32688"/>
      <w:r>
        <w:rPr>
          <w:rFonts w:hint="eastAsia" w:ascii="仿宋" w:hAnsi="仿宋" w:eastAsia="仿宋" w:cs="仿宋"/>
          <w:color w:val="auto"/>
          <w:szCs w:val="24"/>
          <w:highlight w:val="none"/>
        </w:rPr>
        <w:t>响应文件的密封与标记</w:t>
      </w:r>
      <w:bookmarkEnd w:id="194"/>
      <w:bookmarkEnd w:id="195"/>
      <w:bookmarkEnd w:id="196"/>
      <w:bookmarkEnd w:id="197"/>
      <w:bookmarkEnd w:id="198"/>
      <w:bookmarkEnd w:id="199"/>
      <w:bookmarkEnd w:id="200"/>
      <w:bookmarkEnd w:id="201"/>
      <w:bookmarkEnd w:id="202"/>
    </w:p>
    <w:p>
      <w:pPr>
        <w:numPr>
          <w:ilvl w:val="1"/>
          <w:numId w:val="14"/>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投标人应按“</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”中规定的正本和副本的数量提交响应文件。</w:t>
      </w:r>
    </w:p>
    <w:p>
      <w:pPr>
        <w:numPr>
          <w:ilvl w:val="1"/>
          <w:numId w:val="14"/>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投标人应将正、副本文件</w:t>
      </w:r>
      <w:r>
        <w:rPr>
          <w:rFonts w:hint="eastAsia" w:ascii="仿宋" w:hAnsi="仿宋" w:eastAsia="仿宋" w:cs="仿宋"/>
          <w:color w:val="auto"/>
          <w:szCs w:val="21"/>
          <w:highlight w:val="none"/>
          <w:lang w:val="en-US" w:eastAsia="zh-CN"/>
        </w:rPr>
        <w:t>一起</w:t>
      </w:r>
      <w:r>
        <w:rPr>
          <w:rFonts w:hint="eastAsia" w:ascii="仿宋" w:hAnsi="仿宋" w:eastAsia="仿宋" w:cs="仿宋"/>
          <w:color w:val="auto"/>
          <w:szCs w:val="21"/>
          <w:highlight w:val="none"/>
        </w:rPr>
        <w:t>加以密封，并在封贴处盖密封章（或公章）。</w:t>
      </w:r>
    </w:p>
    <w:p>
      <w:pPr>
        <w:numPr>
          <w:ilvl w:val="1"/>
          <w:numId w:val="14"/>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响应文件袋的封面应注明项目名称、项目编号、投标人名称、详细通讯地址、邮政编码。</w:t>
      </w:r>
    </w:p>
    <w:p>
      <w:pPr>
        <w:pStyle w:val="14"/>
        <w:numPr>
          <w:ilvl w:val="1"/>
          <w:numId w:val="14"/>
        </w:numPr>
        <w:spacing w:line="460" w:lineRule="exact"/>
        <w:ind w:left="567" w:leftChars="0" w:hanging="567" w:firstLineChars="0"/>
        <w:rPr>
          <w:rFonts w:hint="eastAsia" w:ascii="仿宋" w:hAnsi="仿宋" w:eastAsia="仿宋" w:cs="仿宋"/>
          <w:color w:val="auto"/>
          <w:highlight w:val="none"/>
        </w:rPr>
      </w:pPr>
      <w:r>
        <w:rPr>
          <w:rFonts w:hint="eastAsia" w:ascii="仿宋" w:hAnsi="仿宋" w:eastAsia="仿宋" w:cs="仿宋"/>
          <w:color w:val="auto"/>
          <w:szCs w:val="21"/>
          <w:highlight w:val="none"/>
        </w:rPr>
        <w:t>★ 投标人在提交响应文件时，未按本须知要求14.2、14.3密封、标记的，招标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不予接收。</w:t>
      </w:r>
    </w:p>
    <w:p>
      <w:pPr>
        <w:pStyle w:val="4"/>
        <w:numPr>
          <w:ilvl w:val="0"/>
          <w:numId w:val="13"/>
        </w:numPr>
        <w:tabs>
          <w:tab w:val="clear" w:pos="1588"/>
        </w:tabs>
        <w:spacing w:before="0" w:after="0" w:line="460" w:lineRule="exact"/>
        <w:ind w:left="587"/>
        <w:jc w:val="both"/>
        <w:rPr>
          <w:rFonts w:hint="eastAsia" w:ascii="仿宋" w:hAnsi="仿宋" w:eastAsia="仿宋" w:cs="仿宋"/>
          <w:color w:val="auto"/>
          <w:szCs w:val="24"/>
          <w:highlight w:val="none"/>
        </w:rPr>
      </w:pPr>
      <w:bookmarkStart w:id="203" w:name="_Toc9484"/>
      <w:bookmarkStart w:id="204" w:name="_Toc25016"/>
      <w:bookmarkStart w:id="205" w:name="_Toc27301"/>
      <w:bookmarkStart w:id="206" w:name="_Toc18955"/>
      <w:bookmarkStart w:id="207" w:name="_Toc14376"/>
      <w:bookmarkStart w:id="208" w:name="_Toc27655"/>
      <w:bookmarkStart w:id="209" w:name="_Toc13923"/>
      <w:bookmarkStart w:id="210" w:name="_Toc7344"/>
      <w:bookmarkStart w:id="211" w:name="_Toc23305"/>
      <w:r>
        <w:rPr>
          <w:rFonts w:hint="eastAsia" w:ascii="仿宋" w:hAnsi="仿宋" w:eastAsia="仿宋" w:cs="仿宋"/>
          <w:color w:val="auto"/>
          <w:szCs w:val="24"/>
          <w:highlight w:val="none"/>
        </w:rPr>
        <w:t>递交响应文件的截止时间和地点</w:t>
      </w:r>
      <w:bookmarkEnd w:id="203"/>
      <w:bookmarkEnd w:id="204"/>
      <w:bookmarkEnd w:id="205"/>
      <w:bookmarkEnd w:id="206"/>
      <w:bookmarkEnd w:id="207"/>
      <w:bookmarkEnd w:id="208"/>
      <w:bookmarkEnd w:id="209"/>
      <w:bookmarkEnd w:id="210"/>
      <w:bookmarkEnd w:id="211"/>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响应文件的递交不得迟于“投标人须知前附表”规定的递交响应文件截止时间。</w:t>
      </w:r>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投标人必须在规定时间内将响应文件递交到“投标人须知前附表”规定的地点。</w:t>
      </w:r>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除“投标人须知前附表”另有规定外，投标人所递交的响应文件不予退还。</w:t>
      </w:r>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逾期送达的或者未送达指定地点的响应文件，招标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不予受理。</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212" w:name="_Toc21810"/>
      <w:bookmarkStart w:id="213" w:name="_Toc14212"/>
      <w:bookmarkStart w:id="214" w:name="_Toc17765"/>
      <w:bookmarkStart w:id="215" w:name="_Toc18622"/>
      <w:bookmarkStart w:id="216" w:name="_Toc17394"/>
      <w:bookmarkStart w:id="217" w:name="_Toc458"/>
      <w:bookmarkStart w:id="218" w:name="_Toc21768"/>
      <w:r>
        <w:rPr>
          <w:rFonts w:hint="eastAsia" w:ascii="仿宋" w:hAnsi="仿宋" w:eastAsia="仿宋" w:cs="仿宋"/>
          <w:color w:val="auto"/>
          <w:szCs w:val="28"/>
          <w:highlight w:val="none"/>
        </w:rPr>
        <w:t>五、比选与评审</w:t>
      </w:r>
      <w:bookmarkEnd w:id="212"/>
      <w:bookmarkEnd w:id="213"/>
      <w:bookmarkEnd w:id="214"/>
      <w:bookmarkEnd w:id="215"/>
      <w:bookmarkEnd w:id="216"/>
      <w:bookmarkEnd w:id="217"/>
      <w:bookmarkEnd w:id="218"/>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19" w:name="_Toc11620"/>
      <w:bookmarkStart w:id="220" w:name="_Toc25590"/>
      <w:bookmarkStart w:id="221" w:name="_Toc1274"/>
      <w:bookmarkStart w:id="222" w:name="_Toc6108"/>
      <w:r>
        <w:rPr>
          <w:rFonts w:hint="eastAsia" w:ascii="仿宋" w:hAnsi="仿宋" w:eastAsia="仿宋" w:cs="仿宋"/>
          <w:color w:val="auto"/>
          <w:szCs w:val="24"/>
          <w:highlight w:val="none"/>
        </w:rPr>
        <w:t>比选</w:t>
      </w:r>
      <w:bookmarkEnd w:id="219"/>
      <w:bookmarkEnd w:id="220"/>
      <w:bookmarkEnd w:id="221"/>
      <w:bookmarkEnd w:id="222"/>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将在“</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”规定的时间和地点进行比选，投标人的法定代表人或其委托代理人应按时参加。</w:t>
      </w:r>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23" w:name="_Toc13268"/>
      <w:bookmarkStart w:id="224" w:name="_Toc22276"/>
      <w:bookmarkStart w:id="225" w:name="_Toc14642"/>
      <w:bookmarkStart w:id="226" w:name="_Toc5441"/>
      <w:bookmarkStart w:id="227" w:name="_Toc11936"/>
      <w:bookmarkStart w:id="228" w:name="_Toc14177"/>
      <w:bookmarkStart w:id="229" w:name="_Toc13178"/>
      <w:bookmarkStart w:id="230" w:name="_Toc6521"/>
      <w:bookmarkStart w:id="231" w:name="_Toc21190"/>
      <w:r>
        <w:rPr>
          <w:rFonts w:hint="eastAsia" w:ascii="仿宋" w:hAnsi="仿宋" w:eastAsia="仿宋" w:cs="仿宋"/>
          <w:color w:val="auto"/>
          <w:szCs w:val="24"/>
          <w:highlight w:val="none"/>
        </w:rPr>
        <w:t>评审</w:t>
      </w:r>
      <w:bookmarkEnd w:id="223"/>
      <w:bookmarkEnd w:id="224"/>
      <w:bookmarkEnd w:id="225"/>
      <w:bookmarkEnd w:id="226"/>
      <w:bookmarkEnd w:id="227"/>
      <w:bookmarkEnd w:id="228"/>
      <w:bookmarkEnd w:id="229"/>
      <w:bookmarkEnd w:id="230"/>
      <w:bookmarkEnd w:id="231"/>
    </w:p>
    <w:p>
      <w:pPr>
        <w:numPr>
          <w:ilvl w:val="1"/>
          <w:numId w:val="17"/>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评审由比选小组负责。比选小组由评审专家3名组成。</w:t>
      </w:r>
    </w:p>
    <w:p>
      <w:pPr>
        <w:numPr>
          <w:ilvl w:val="1"/>
          <w:numId w:val="17"/>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比选小组及其成员不得有下列行为：</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（一）确定参与评标至评标结束前私自接触投标人；</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（二）违反评标纪律发表倾向性意见或者征询招标人的倾向性意见；</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（三）对需要专业判断的主观评审因素协商评分；</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（四）在评标过程中擅离职守，影响评标程序正常进行的；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（五）记录、复制或者带走任何评标资料；</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（六）其他不遵守评标纪律的行为。</w:t>
      </w:r>
    </w:p>
    <w:p>
      <w:pPr>
        <w:numPr>
          <w:ilvl w:val="1"/>
          <w:numId w:val="17"/>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评审</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比选小组对各投标人的响应文件进行详细评审。评标完成后，比选小组应当向招标人提交书面评标报告，按照得分由高到低的顺序推荐三名中标候选人。</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32" w:name="_Toc12930"/>
      <w:bookmarkStart w:id="233" w:name="_Toc8818"/>
      <w:bookmarkStart w:id="234" w:name="_Toc4484"/>
      <w:bookmarkStart w:id="235" w:name="_Toc15189"/>
      <w:bookmarkStart w:id="236" w:name="_Toc24068"/>
      <w:bookmarkStart w:id="237" w:name="_Toc30781"/>
      <w:bookmarkStart w:id="238" w:name="_Toc30516"/>
      <w:bookmarkStart w:id="239" w:name="_Toc12685"/>
      <w:bookmarkStart w:id="240" w:name="_Toc22867"/>
      <w:r>
        <w:rPr>
          <w:rFonts w:hint="eastAsia" w:ascii="仿宋" w:hAnsi="仿宋" w:eastAsia="仿宋" w:cs="仿宋"/>
          <w:color w:val="auto"/>
          <w:szCs w:val="24"/>
          <w:highlight w:val="none"/>
        </w:rPr>
        <w:t>评审过程的保密</w:t>
      </w:r>
      <w:bookmarkEnd w:id="232"/>
      <w:bookmarkEnd w:id="233"/>
      <w:bookmarkEnd w:id="234"/>
      <w:bookmarkEnd w:id="235"/>
      <w:bookmarkEnd w:id="236"/>
      <w:bookmarkEnd w:id="237"/>
      <w:bookmarkEnd w:id="238"/>
      <w:bookmarkEnd w:id="239"/>
      <w:bookmarkEnd w:id="240"/>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比选小组成员以及与评审工作有关的人员不得泄露评审情况以及评审过程中获悉的国家秘密、商业秘密。</w:t>
      </w:r>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41" w:name="_Toc972"/>
      <w:bookmarkStart w:id="242" w:name="_Toc11489"/>
      <w:bookmarkStart w:id="243" w:name="_Toc21890"/>
      <w:bookmarkStart w:id="244" w:name="_Toc13250"/>
      <w:bookmarkStart w:id="245" w:name="_Toc25303"/>
      <w:bookmarkStart w:id="246" w:name="_Toc15538"/>
      <w:bookmarkStart w:id="247" w:name="_Toc4767"/>
      <w:bookmarkStart w:id="248" w:name="_Toc26685"/>
      <w:bookmarkStart w:id="249" w:name="_Toc4683"/>
      <w:r>
        <w:rPr>
          <w:rFonts w:hint="eastAsia" w:ascii="仿宋" w:hAnsi="仿宋" w:eastAsia="仿宋" w:cs="仿宋"/>
          <w:color w:val="auto"/>
          <w:szCs w:val="24"/>
          <w:highlight w:val="none"/>
        </w:rPr>
        <w:t>出现下列情形之一的，项目终止：</w:t>
      </w:r>
      <w:bookmarkEnd w:id="241"/>
      <w:bookmarkEnd w:id="242"/>
      <w:bookmarkEnd w:id="243"/>
      <w:bookmarkEnd w:id="244"/>
      <w:bookmarkEnd w:id="245"/>
      <w:bookmarkEnd w:id="246"/>
      <w:bookmarkEnd w:id="247"/>
      <w:bookmarkEnd w:id="248"/>
      <w:bookmarkEnd w:id="249"/>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（1）最终符合条件参与比选的投标人不足3家的；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（2）在比选过程中，比选小组认为所有投标人的报价均明显超过市场合理价位的；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（3）在比选过程中，比选小组认为所有投标人的服务质量均不能满足招标人需求的；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（4）出现影响项目公正的违法、违规行为的</w:t>
      </w:r>
    </w:p>
    <w:p>
      <w:pPr>
        <w:spacing w:line="460" w:lineRule="exact"/>
        <w:ind w:firstLine="420" w:firstLineChars="200"/>
        <w:jc w:val="left"/>
        <w:rPr>
          <w:rFonts w:hint="eastAsia" w:ascii="仿宋" w:hAnsi="仿宋" w:eastAsia="仿宋" w:cs="仿宋"/>
          <w:color w:val="auto"/>
          <w:highlight w:val="none"/>
        </w:rPr>
      </w:pPr>
      <w:r>
        <w:rPr>
          <w:rFonts w:hint="eastAsia" w:ascii="仿宋" w:hAnsi="仿宋" w:eastAsia="仿宋" w:cs="仿宋"/>
          <w:color w:val="auto"/>
          <w:szCs w:val="21"/>
          <w:highlight w:val="none"/>
        </w:rPr>
        <w:t>（5）因重大变故，项目任务取消的。</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250" w:name="_Toc14981"/>
      <w:bookmarkStart w:id="251" w:name="_Toc28133"/>
      <w:bookmarkStart w:id="252" w:name="_Toc6826"/>
      <w:bookmarkStart w:id="253" w:name="_Toc16096"/>
      <w:bookmarkStart w:id="254" w:name="_Toc10957"/>
      <w:bookmarkStart w:id="255" w:name="_Toc21349"/>
      <w:bookmarkStart w:id="256" w:name="_Toc16977"/>
      <w:r>
        <w:rPr>
          <w:rFonts w:hint="eastAsia" w:ascii="仿宋" w:hAnsi="仿宋" w:eastAsia="仿宋" w:cs="仿宋"/>
          <w:color w:val="auto"/>
          <w:szCs w:val="28"/>
          <w:highlight w:val="none"/>
        </w:rPr>
        <w:t>六、中标结果</w:t>
      </w:r>
      <w:bookmarkEnd w:id="250"/>
      <w:bookmarkEnd w:id="251"/>
      <w:bookmarkEnd w:id="252"/>
      <w:bookmarkEnd w:id="253"/>
      <w:bookmarkEnd w:id="254"/>
      <w:bookmarkEnd w:id="255"/>
      <w:bookmarkEnd w:id="256"/>
    </w:p>
    <w:p>
      <w:pPr>
        <w:pStyle w:val="4"/>
        <w:numPr>
          <w:ilvl w:val="0"/>
          <w:numId w:val="18"/>
        </w:numPr>
        <w:tabs>
          <w:tab w:val="clear" w:pos="1588"/>
        </w:tabs>
        <w:spacing w:before="0" w:after="0" w:line="460" w:lineRule="exact"/>
        <w:ind w:left="587"/>
        <w:jc w:val="both"/>
        <w:rPr>
          <w:rFonts w:hint="eastAsia" w:ascii="仿宋" w:hAnsi="仿宋" w:eastAsia="仿宋" w:cs="仿宋"/>
          <w:color w:val="auto"/>
          <w:szCs w:val="24"/>
          <w:highlight w:val="none"/>
        </w:rPr>
      </w:pPr>
      <w:bookmarkStart w:id="257" w:name="_Toc5216"/>
      <w:bookmarkStart w:id="258" w:name="_Toc17069"/>
      <w:bookmarkStart w:id="259" w:name="_Toc16425"/>
      <w:bookmarkStart w:id="260" w:name="_Toc11393"/>
      <w:bookmarkStart w:id="261" w:name="_Toc19153"/>
      <w:bookmarkStart w:id="262" w:name="_Toc19198"/>
      <w:bookmarkStart w:id="263" w:name="_Toc11404"/>
      <w:bookmarkStart w:id="264" w:name="_Toc31574"/>
      <w:bookmarkStart w:id="265" w:name="_Toc23306"/>
      <w:r>
        <w:rPr>
          <w:rFonts w:hint="eastAsia" w:ascii="仿宋" w:hAnsi="仿宋" w:eastAsia="仿宋" w:cs="仿宋"/>
          <w:color w:val="auto"/>
          <w:szCs w:val="24"/>
          <w:highlight w:val="none"/>
        </w:rPr>
        <w:t>中标通知书</w:t>
      </w:r>
      <w:bookmarkEnd w:id="257"/>
      <w:bookmarkEnd w:id="258"/>
      <w:bookmarkEnd w:id="259"/>
      <w:bookmarkEnd w:id="260"/>
      <w:bookmarkEnd w:id="261"/>
      <w:bookmarkEnd w:id="262"/>
      <w:bookmarkEnd w:id="263"/>
      <w:bookmarkEnd w:id="264"/>
      <w:bookmarkEnd w:id="265"/>
    </w:p>
    <w:p>
      <w:pPr>
        <w:widowControl/>
        <w:numPr>
          <w:ilvl w:val="0"/>
          <w:numId w:val="0"/>
        </w:numPr>
        <w:spacing w:line="460" w:lineRule="exact"/>
        <w:ind w:leftChars="0"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中标候选人确定后二个工作日内，中标结果由</w:t>
      </w:r>
      <w:r>
        <w:rPr>
          <w:rFonts w:hint="eastAsia" w:ascii="仿宋" w:hAnsi="仿宋" w:eastAsia="仿宋" w:cs="仿宋"/>
          <w:color w:val="auto"/>
          <w:szCs w:val="21"/>
          <w:highlight w:val="none"/>
          <w:lang w:val="en-US" w:eastAsia="zh-CN"/>
        </w:rPr>
        <w:t>学校</w:t>
      </w:r>
      <w:r>
        <w:rPr>
          <w:rFonts w:hint="eastAsia" w:ascii="仿宋" w:hAnsi="仿宋" w:eastAsia="仿宋" w:cs="仿宋"/>
          <w:color w:val="auto"/>
          <w:szCs w:val="21"/>
          <w:highlight w:val="none"/>
        </w:rPr>
        <w:t>在</w:t>
      </w:r>
      <w:r>
        <w:rPr>
          <w:rFonts w:hint="eastAsia" w:ascii="仿宋" w:hAnsi="仿宋" w:eastAsia="仿宋" w:cs="仿宋"/>
          <w:color w:val="auto"/>
          <w:szCs w:val="21"/>
          <w:highlight w:val="none"/>
          <w:lang w:val="en-US" w:eastAsia="zh-CN"/>
        </w:rPr>
        <w:t>官网</w:t>
      </w:r>
      <w:r>
        <w:rPr>
          <w:rFonts w:hint="eastAsia" w:ascii="仿宋" w:hAnsi="仿宋" w:eastAsia="仿宋" w:cs="仿宋"/>
          <w:color w:val="auto"/>
          <w:szCs w:val="21"/>
          <w:highlight w:val="none"/>
        </w:rPr>
        <w:t>上公告（https://www.ysdsjjy.com/sjjycms/front/index），同时向中标候选人发出中标通知书。中标通知书是合同的一个组成部分。</w:t>
      </w:r>
    </w:p>
    <w:p>
      <w:pPr>
        <w:pStyle w:val="4"/>
        <w:numPr>
          <w:ilvl w:val="0"/>
          <w:numId w:val="18"/>
        </w:numPr>
        <w:tabs>
          <w:tab w:val="clear" w:pos="1588"/>
        </w:tabs>
        <w:spacing w:before="0" w:after="0" w:line="460" w:lineRule="exact"/>
        <w:ind w:left="587"/>
        <w:jc w:val="both"/>
        <w:rPr>
          <w:rFonts w:hint="eastAsia" w:ascii="仿宋" w:hAnsi="仿宋" w:eastAsia="仿宋" w:cs="仿宋"/>
          <w:color w:val="auto"/>
          <w:szCs w:val="24"/>
          <w:highlight w:val="none"/>
        </w:rPr>
      </w:pPr>
      <w:bookmarkStart w:id="266" w:name="_Toc19046"/>
      <w:bookmarkStart w:id="267" w:name="_Toc11932"/>
      <w:bookmarkStart w:id="268" w:name="_Toc32628"/>
      <w:bookmarkStart w:id="269" w:name="_Toc10585"/>
      <w:bookmarkStart w:id="270" w:name="_Toc2512"/>
      <w:bookmarkStart w:id="271" w:name="_Toc1527"/>
      <w:bookmarkStart w:id="272" w:name="_Toc3972"/>
      <w:bookmarkStart w:id="273" w:name="_Toc17823"/>
      <w:bookmarkStart w:id="274" w:name="_Toc19516"/>
      <w:r>
        <w:rPr>
          <w:rFonts w:hint="eastAsia" w:ascii="仿宋" w:hAnsi="仿宋" w:eastAsia="仿宋" w:cs="仿宋"/>
          <w:color w:val="auto"/>
          <w:szCs w:val="24"/>
          <w:highlight w:val="none"/>
        </w:rPr>
        <w:t>签订合同</w:t>
      </w:r>
      <w:bookmarkEnd w:id="266"/>
      <w:bookmarkEnd w:id="267"/>
      <w:bookmarkEnd w:id="268"/>
      <w:bookmarkEnd w:id="269"/>
      <w:bookmarkEnd w:id="270"/>
      <w:bookmarkEnd w:id="271"/>
      <w:bookmarkEnd w:id="272"/>
      <w:bookmarkEnd w:id="273"/>
      <w:bookmarkEnd w:id="274"/>
    </w:p>
    <w:p>
      <w:pPr>
        <w:numPr>
          <w:ilvl w:val="0"/>
          <w:numId w:val="0"/>
        </w:numPr>
        <w:spacing w:line="440" w:lineRule="exact"/>
        <w:ind w:left="420" w:left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2.1</w:t>
      </w:r>
      <w:r>
        <w:rPr>
          <w:rFonts w:hint="eastAsia" w:ascii="仿宋" w:hAnsi="仿宋" w:eastAsia="仿宋" w:cs="仿宋"/>
          <w:color w:val="auto"/>
          <w:szCs w:val="21"/>
          <w:highlight w:val="none"/>
        </w:rPr>
        <w:t xml:space="preserve"> 中标候选人收到中标通知书后，按比选文件、响应文件及有关澄清承诺书的要求与招标人签订合同。</w:t>
      </w:r>
    </w:p>
    <w:p>
      <w:pPr>
        <w:numPr>
          <w:ilvl w:val="0"/>
          <w:numId w:val="0"/>
        </w:numPr>
        <w:spacing w:line="440" w:lineRule="exact"/>
        <w:ind w:left="420" w:left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2.2</w:t>
      </w:r>
      <w:r>
        <w:rPr>
          <w:rFonts w:hint="eastAsia" w:ascii="仿宋" w:hAnsi="仿宋" w:eastAsia="仿宋" w:cs="仿宋"/>
          <w:color w:val="auto"/>
          <w:szCs w:val="21"/>
          <w:highlight w:val="none"/>
        </w:rPr>
        <w:t xml:space="preserve"> 中标候选人因不可抗力或者自身原因不能履行合同的，招标人可以与排位在中标候选人之后第一位的中标候选人签订合同，以此类推；或重新开展</w:t>
      </w:r>
      <w:r>
        <w:rPr>
          <w:rFonts w:hint="eastAsia" w:ascii="仿宋" w:hAnsi="仿宋" w:eastAsia="仿宋" w:cs="仿宋"/>
          <w:color w:val="auto"/>
          <w:szCs w:val="21"/>
          <w:highlight w:val="none"/>
          <w:lang w:val="en-US" w:eastAsia="zh-CN"/>
        </w:rPr>
        <w:t>招标</w:t>
      </w:r>
      <w:r>
        <w:rPr>
          <w:rFonts w:hint="eastAsia" w:ascii="仿宋" w:hAnsi="仿宋" w:eastAsia="仿宋" w:cs="仿宋"/>
          <w:color w:val="auto"/>
          <w:szCs w:val="21"/>
          <w:highlight w:val="none"/>
        </w:rPr>
        <w:t>活动。拒绝签订合同的中标候选人不得参加对本项目重新开展的</w:t>
      </w:r>
      <w:r>
        <w:rPr>
          <w:rFonts w:hint="eastAsia" w:ascii="仿宋" w:hAnsi="仿宋" w:eastAsia="仿宋" w:cs="仿宋"/>
          <w:color w:val="auto"/>
          <w:szCs w:val="21"/>
          <w:highlight w:val="none"/>
          <w:lang w:val="en-US" w:eastAsia="zh-CN"/>
        </w:rPr>
        <w:t>招标</w:t>
      </w:r>
      <w:r>
        <w:rPr>
          <w:rFonts w:hint="eastAsia" w:ascii="仿宋" w:hAnsi="仿宋" w:eastAsia="仿宋" w:cs="仿宋"/>
          <w:color w:val="auto"/>
          <w:szCs w:val="21"/>
          <w:highlight w:val="none"/>
        </w:rPr>
        <w:t>活动。</w:t>
      </w:r>
    </w:p>
    <w:p>
      <w:pPr>
        <w:pStyle w:val="4"/>
        <w:numPr>
          <w:ilvl w:val="0"/>
          <w:numId w:val="18"/>
        </w:numPr>
        <w:tabs>
          <w:tab w:val="clear" w:pos="1588"/>
        </w:tabs>
        <w:spacing w:before="0" w:after="0" w:line="460" w:lineRule="exact"/>
        <w:ind w:left="587"/>
        <w:jc w:val="both"/>
        <w:rPr>
          <w:rFonts w:hint="eastAsia" w:ascii="仿宋" w:hAnsi="仿宋" w:eastAsia="仿宋" w:cs="仿宋"/>
          <w:color w:val="auto"/>
          <w:szCs w:val="24"/>
          <w:highlight w:val="none"/>
        </w:rPr>
      </w:pPr>
      <w:bookmarkStart w:id="275" w:name="_Toc17314"/>
      <w:bookmarkStart w:id="276" w:name="_Toc14719"/>
      <w:bookmarkStart w:id="277" w:name="_Toc17514"/>
      <w:bookmarkStart w:id="278" w:name="_Toc16228"/>
      <w:bookmarkStart w:id="279" w:name="_Toc14055"/>
      <w:bookmarkStart w:id="280" w:name="_Toc31142"/>
      <w:bookmarkStart w:id="281" w:name="_Toc18050"/>
      <w:bookmarkStart w:id="282" w:name="_Toc15762"/>
      <w:bookmarkStart w:id="283" w:name="_Toc10317"/>
      <w:r>
        <w:rPr>
          <w:rFonts w:hint="eastAsia" w:ascii="仿宋" w:hAnsi="仿宋" w:eastAsia="仿宋" w:cs="仿宋"/>
          <w:color w:val="auto"/>
          <w:szCs w:val="24"/>
          <w:highlight w:val="none"/>
        </w:rPr>
        <w:t>履约保证金</w:t>
      </w:r>
      <w:bookmarkEnd w:id="275"/>
      <w:bookmarkEnd w:id="276"/>
      <w:bookmarkEnd w:id="277"/>
      <w:bookmarkEnd w:id="278"/>
      <w:bookmarkEnd w:id="279"/>
      <w:bookmarkEnd w:id="280"/>
      <w:bookmarkEnd w:id="281"/>
      <w:bookmarkEnd w:id="282"/>
      <w:r>
        <w:rPr>
          <w:rFonts w:hint="eastAsia" w:ascii="仿宋" w:hAnsi="仿宋" w:eastAsia="仿宋" w:cs="仿宋"/>
          <w:color w:val="auto"/>
          <w:szCs w:val="24"/>
          <w:highlight w:val="none"/>
          <w:lang w:eastAsia="zh-CN"/>
        </w:rPr>
        <w:t>（</w:t>
      </w:r>
      <w:r>
        <w:rPr>
          <w:rFonts w:hint="eastAsia" w:ascii="仿宋" w:hAnsi="仿宋" w:eastAsia="仿宋" w:cs="仿宋"/>
          <w:color w:val="auto"/>
          <w:szCs w:val="24"/>
          <w:highlight w:val="none"/>
          <w:lang w:val="en-US" w:eastAsia="zh-CN"/>
        </w:rPr>
        <w:t>本项目不涉及</w:t>
      </w:r>
      <w:r>
        <w:rPr>
          <w:rFonts w:hint="eastAsia" w:ascii="仿宋" w:hAnsi="仿宋" w:eastAsia="仿宋" w:cs="仿宋"/>
          <w:color w:val="auto"/>
          <w:szCs w:val="24"/>
          <w:highlight w:val="none"/>
          <w:lang w:eastAsia="zh-CN"/>
        </w:rPr>
        <w:t>）</w:t>
      </w:r>
      <w:bookmarkEnd w:id="283"/>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284" w:name="_Toc9866"/>
      <w:bookmarkStart w:id="285" w:name="_Toc12266"/>
      <w:bookmarkStart w:id="286" w:name="_Toc29379"/>
      <w:bookmarkStart w:id="287" w:name="_Toc31586"/>
      <w:bookmarkStart w:id="288" w:name="_Toc6757"/>
      <w:bookmarkStart w:id="289" w:name="_Toc25522"/>
      <w:bookmarkStart w:id="290" w:name="_Toc1543"/>
      <w:r>
        <w:rPr>
          <w:rFonts w:hint="eastAsia" w:ascii="仿宋" w:hAnsi="仿宋" w:eastAsia="仿宋" w:cs="仿宋"/>
          <w:color w:val="auto"/>
          <w:szCs w:val="28"/>
          <w:highlight w:val="none"/>
        </w:rPr>
        <w:t>七、其他事项</w:t>
      </w:r>
      <w:bookmarkEnd w:id="284"/>
      <w:bookmarkEnd w:id="285"/>
      <w:bookmarkEnd w:id="286"/>
      <w:bookmarkEnd w:id="287"/>
      <w:bookmarkEnd w:id="288"/>
      <w:bookmarkEnd w:id="289"/>
      <w:bookmarkEnd w:id="290"/>
    </w:p>
    <w:p>
      <w:pPr>
        <w:pStyle w:val="4"/>
        <w:numPr>
          <w:ilvl w:val="0"/>
          <w:numId w:val="19"/>
        </w:numPr>
        <w:tabs>
          <w:tab w:val="clear" w:pos="1588"/>
        </w:tabs>
        <w:spacing w:before="0" w:after="0" w:line="460" w:lineRule="exact"/>
        <w:ind w:left="587"/>
        <w:jc w:val="both"/>
        <w:rPr>
          <w:rFonts w:hint="eastAsia" w:ascii="仿宋" w:hAnsi="仿宋" w:eastAsia="仿宋" w:cs="仿宋"/>
          <w:color w:val="auto"/>
          <w:szCs w:val="24"/>
          <w:highlight w:val="none"/>
        </w:rPr>
      </w:pPr>
      <w:bookmarkStart w:id="291" w:name="_Toc9393"/>
      <w:bookmarkStart w:id="292" w:name="_Toc21776"/>
      <w:bookmarkStart w:id="293" w:name="_Toc32606"/>
      <w:bookmarkStart w:id="294" w:name="_Toc12824"/>
      <w:bookmarkStart w:id="295" w:name="_Toc19388"/>
      <w:bookmarkStart w:id="296" w:name="_Toc1861"/>
      <w:bookmarkStart w:id="297" w:name="_Toc17203"/>
      <w:bookmarkStart w:id="298" w:name="_Toc5621"/>
      <w:bookmarkStart w:id="299" w:name="_Toc32437"/>
      <w:r>
        <w:rPr>
          <w:rFonts w:hint="eastAsia" w:ascii="仿宋" w:hAnsi="仿宋" w:eastAsia="仿宋" w:cs="仿宋"/>
          <w:color w:val="auto"/>
          <w:szCs w:val="24"/>
          <w:highlight w:val="none"/>
        </w:rPr>
        <w:t>质疑和投诉</w:t>
      </w:r>
      <w:bookmarkEnd w:id="291"/>
      <w:bookmarkEnd w:id="292"/>
      <w:bookmarkEnd w:id="293"/>
      <w:bookmarkEnd w:id="294"/>
      <w:bookmarkEnd w:id="295"/>
      <w:bookmarkEnd w:id="296"/>
      <w:bookmarkEnd w:id="297"/>
      <w:bookmarkEnd w:id="298"/>
      <w:bookmarkEnd w:id="299"/>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投标人提供的质疑书（如材料中有外文资料应同时附上中文译本）应当包括以下主要内容：</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（1）投标人的姓名或者名称、地址、邮编、联系人及联系电话；</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（2）质疑项目的名称、编号；</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（3）具体、明确的质疑事项和与质疑事项相关的请求；</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（4）事实依据；</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（5）必要的法律依据；</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（6）提出质疑的日期。</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投标人为自然人的，应当由本人签字；投标人为法人或者其他组织的，应当由法定代表人、主要负责人，或者其授权代表签字或者盖章，并加盖公章。</w:t>
      </w:r>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招标人将在收到投标人的书面质疑后七个工作日内做出答复，但答复的内容不涉及商业秘密。</w:t>
      </w:r>
    </w:p>
    <w:p>
      <w:pPr>
        <w:pStyle w:val="4"/>
        <w:numPr>
          <w:ilvl w:val="0"/>
          <w:numId w:val="19"/>
        </w:numPr>
        <w:tabs>
          <w:tab w:val="clear" w:pos="1588"/>
        </w:tabs>
        <w:spacing w:before="0" w:after="0" w:line="460" w:lineRule="exact"/>
        <w:ind w:left="587"/>
        <w:jc w:val="both"/>
        <w:rPr>
          <w:rFonts w:hint="eastAsia" w:ascii="仿宋" w:hAnsi="仿宋" w:eastAsia="仿宋" w:cs="仿宋"/>
          <w:color w:val="auto"/>
          <w:szCs w:val="24"/>
          <w:highlight w:val="none"/>
          <w:lang w:val="en-US" w:eastAsia="zh-CN"/>
        </w:rPr>
      </w:pPr>
      <w:bookmarkStart w:id="300" w:name="_Toc20234"/>
      <w:r>
        <w:rPr>
          <w:rFonts w:hint="eastAsia" w:ascii="仿宋" w:hAnsi="仿宋" w:eastAsia="仿宋" w:cs="仿宋"/>
          <w:color w:val="auto"/>
          <w:szCs w:val="24"/>
          <w:highlight w:val="none"/>
          <w:lang w:val="en-US" w:eastAsia="zh-CN"/>
        </w:rPr>
        <w:t>需要补充的其他内容</w:t>
      </w:r>
      <w:bookmarkEnd w:id="300"/>
    </w:p>
    <w:p>
      <w:pPr>
        <w:spacing w:line="440" w:lineRule="exact"/>
        <w:ind w:firstLine="420" w:firstLineChars="200"/>
        <w:jc w:val="left"/>
        <w:rPr>
          <w:rFonts w:hint="eastAsia" w:ascii="仿宋" w:hAnsi="仿宋" w:eastAsia="仿宋" w:cs="仿宋"/>
          <w:color w:val="auto"/>
          <w:szCs w:val="21"/>
          <w:highlight w:val="none"/>
          <w:lang w:val="en-US" w:eastAsia="zh-CN"/>
        </w:rPr>
      </w:pPr>
      <w:r>
        <w:rPr>
          <w:rFonts w:hint="eastAsia" w:ascii="仿宋" w:hAnsi="仿宋" w:eastAsia="仿宋" w:cs="仿宋"/>
          <w:color w:val="auto"/>
          <w:szCs w:val="21"/>
          <w:highlight w:val="none"/>
        </w:rPr>
        <w:t>需要补充的其他内容：见“投标人须知前附表”。</w:t>
      </w:r>
    </w:p>
    <w:p>
      <w:pPr>
        <w:spacing w:line="600" w:lineRule="exact"/>
        <w:jc w:val="center"/>
        <w:outlineLvl w:val="0"/>
        <w:rPr>
          <w:rFonts w:hint="eastAsia" w:ascii="仿宋" w:hAnsi="仿宋" w:eastAsia="仿宋" w:cs="仿宋"/>
          <w:b/>
          <w:bCs/>
          <w:color w:val="auto"/>
          <w:kern w:val="0"/>
          <w:sz w:val="52"/>
          <w:szCs w:val="32"/>
          <w:highlight w:val="none"/>
        </w:rPr>
      </w:pPr>
      <w:r>
        <w:rPr>
          <w:rFonts w:hint="eastAsia" w:ascii="仿宋" w:hAnsi="仿宋" w:eastAsia="仿宋" w:cs="仿宋"/>
          <w:color w:val="auto"/>
          <w:sz w:val="24"/>
          <w:highlight w:val="none"/>
        </w:rPr>
        <w:br w:type="page"/>
      </w:r>
      <w:bookmarkStart w:id="301" w:name="_Toc26684"/>
      <w:bookmarkStart w:id="302" w:name="_Toc18181"/>
      <w:bookmarkStart w:id="303" w:name="_Toc432197798"/>
      <w:bookmarkStart w:id="304" w:name="_Toc7966"/>
      <w:r>
        <w:rPr>
          <w:rFonts w:hint="eastAsia" w:ascii="仿宋" w:hAnsi="仿宋" w:eastAsia="仿宋" w:cs="仿宋"/>
          <w:b/>
          <w:bCs/>
          <w:color w:val="auto"/>
          <w:kern w:val="0"/>
          <w:sz w:val="52"/>
          <w:szCs w:val="32"/>
          <w:highlight w:val="none"/>
        </w:rPr>
        <w:t xml:space="preserve">第三章  </w:t>
      </w:r>
      <w:bookmarkEnd w:id="301"/>
      <w:bookmarkEnd w:id="302"/>
      <w:bookmarkEnd w:id="303"/>
      <w:bookmarkStart w:id="305" w:name="_Toc14430"/>
      <w:bookmarkStart w:id="306" w:name="_Toc13915"/>
      <w:bookmarkStart w:id="307" w:name="_Toc8577"/>
      <w:bookmarkStart w:id="308" w:name="_Toc32245"/>
      <w:bookmarkStart w:id="309" w:name="_Toc27742"/>
      <w:r>
        <w:rPr>
          <w:rFonts w:hint="eastAsia" w:ascii="仿宋" w:hAnsi="仿宋" w:eastAsia="仿宋" w:cs="仿宋"/>
          <w:b/>
          <w:bCs/>
          <w:color w:val="auto"/>
          <w:kern w:val="0"/>
          <w:sz w:val="52"/>
          <w:szCs w:val="32"/>
          <w:highlight w:val="none"/>
        </w:rPr>
        <w:t>响应文件格式</w:t>
      </w:r>
      <w:bookmarkEnd w:id="304"/>
    </w:p>
    <w:bookmarkEnd w:id="305"/>
    <w:bookmarkEnd w:id="306"/>
    <w:bookmarkEnd w:id="307"/>
    <w:bookmarkEnd w:id="308"/>
    <w:bookmarkEnd w:id="309"/>
    <w:p>
      <w:pPr>
        <w:pStyle w:val="14"/>
        <w:rPr>
          <w:rFonts w:hint="eastAsia" w:ascii="仿宋" w:hAnsi="仿宋" w:eastAsia="仿宋" w:cs="仿宋"/>
          <w:color w:val="auto"/>
          <w:highlight w:val="none"/>
        </w:rPr>
      </w:pPr>
    </w:p>
    <w:p>
      <w:pPr>
        <w:spacing w:line="1100" w:lineRule="exact"/>
        <w:jc w:val="center"/>
        <w:rPr>
          <w:rFonts w:hint="eastAsia" w:ascii="仿宋" w:hAnsi="仿宋" w:eastAsia="仿宋" w:cs="仿宋"/>
          <w:b/>
          <w:color w:val="auto"/>
          <w:sz w:val="56"/>
          <w:szCs w:val="56"/>
          <w:highlight w:val="none"/>
        </w:rPr>
        <w:sectPr>
          <w:footerReference r:id="rId6" w:type="default"/>
          <w:pgSz w:w="11906" w:h="16838"/>
          <w:pgMar w:top="1247" w:right="1134" w:bottom="1134" w:left="1247" w:header="510" w:footer="680" w:gutter="0"/>
          <w:pgNumType w:fmt="decimal" w:start="1"/>
          <w:cols w:space="720" w:num="1"/>
          <w:docGrid w:type="lines" w:linePitch="312" w:charSpace="0"/>
        </w:sectPr>
      </w:pPr>
      <w:r>
        <w:rPr>
          <w:rFonts w:hint="eastAsia" w:ascii="仿宋" w:hAnsi="仿宋" w:eastAsia="仿宋" w:cs="仿宋"/>
          <w:b/>
          <w:color w:val="auto"/>
          <w:sz w:val="56"/>
          <w:szCs w:val="56"/>
          <w:highlight w:val="none"/>
        </w:rPr>
        <w:t xml:space="preserve"> </w:t>
      </w:r>
    </w:p>
    <w:p>
      <w:pPr>
        <w:pStyle w:val="9"/>
        <w:spacing w:before="156"/>
        <w:ind w:left="0" w:leftChars="0" w:firstLine="0" w:firstLineChars="0"/>
        <w:jc w:val="center"/>
        <w:rPr>
          <w:rFonts w:hint="eastAsia" w:ascii="仿宋" w:hAnsi="仿宋" w:eastAsia="仿宋" w:cs="仿宋"/>
          <w:color w:val="auto"/>
          <w:sz w:val="24"/>
          <w:highlight w:val="none"/>
        </w:rPr>
      </w:pPr>
      <w:r>
        <w:rPr>
          <w:rFonts w:hint="eastAsia" w:ascii="仿宋" w:hAnsi="仿宋" w:eastAsia="仿宋" w:cs="仿宋"/>
          <w:b/>
          <w:color w:val="auto"/>
          <w:sz w:val="56"/>
          <w:szCs w:val="56"/>
          <w:highlight w:val="none"/>
          <w:lang w:eastAsia="zh-CN"/>
        </w:rPr>
        <w:t>云南师范大学世纪金源学校</w:t>
      </w:r>
      <w:r>
        <w:rPr>
          <w:rFonts w:hint="eastAsia" w:ascii="仿宋" w:hAnsi="仿宋" w:eastAsia="仿宋" w:cs="仿宋"/>
          <w:b/>
          <w:color w:val="auto"/>
          <w:sz w:val="56"/>
          <w:szCs w:val="56"/>
          <w:highlight w:val="none"/>
          <w:lang w:val="en-US" w:eastAsia="zh-CN"/>
        </w:rPr>
        <w:t>校方综合防范保险项目</w:t>
      </w:r>
    </w:p>
    <w:p>
      <w:pPr>
        <w:pStyle w:val="9"/>
        <w:spacing w:before="156"/>
        <w:ind w:firstLine="480"/>
        <w:rPr>
          <w:rFonts w:hint="eastAsia" w:ascii="仿宋" w:hAnsi="仿宋" w:eastAsia="仿宋" w:cs="仿宋"/>
          <w:color w:val="auto"/>
          <w:sz w:val="24"/>
          <w:highlight w:val="none"/>
        </w:rPr>
      </w:pPr>
    </w:p>
    <w:p>
      <w:pPr>
        <w:pStyle w:val="9"/>
        <w:spacing w:before="156"/>
        <w:ind w:firstLine="480"/>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pStyle w:val="20"/>
        <w:spacing w:line="360" w:lineRule="auto"/>
        <w:jc w:val="center"/>
        <w:rPr>
          <w:rFonts w:hint="eastAsia" w:ascii="仿宋" w:hAnsi="仿宋" w:eastAsia="仿宋" w:cs="仿宋"/>
          <w:b/>
          <w:color w:val="auto"/>
          <w:sz w:val="84"/>
          <w:szCs w:val="84"/>
          <w:highlight w:val="none"/>
        </w:rPr>
      </w:pPr>
      <w:r>
        <w:rPr>
          <w:rFonts w:hint="eastAsia" w:ascii="仿宋" w:hAnsi="仿宋" w:eastAsia="仿宋" w:cs="仿宋"/>
          <w:b/>
          <w:color w:val="auto"/>
          <w:sz w:val="84"/>
          <w:szCs w:val="84"/>
          <w:highlight w:val="none"/>
        </w:rPr>
        <w:t>响 应 文 件</w:t>
      </w:r>
    </w:p>
    <w:p>
      <w:pPr>
        <w:pStyle w:val="20"/>
        <w:spacing w:line="360" w:lineRule="auto"/>
        <w:jc w:val="center"/>
        <w:rPr>
          <w:rFonts w:hint="eastAsia" w:ascii="仿宋" w:hAnsi="仿宋" w:eastAsia="仿宋" w:cs="仿宋"/>
          <w:b/>
          <w:color w:val="auto"/>
          <w:sz w:val="36"/>
          <w:szCs w:val="36"/>
          <w:highlight w:val="none"/>
          <w:u w:val="single"/>
          <w:lang w:eastAsia="zh-CN"/>
        </w:rPr>
      </w:pPr>
      <w:r>
        <w:rPr>
          <w:rFonts w:hint="eastAsia" w:ascii="仿宋" w:hAnsi="仿宋" w:eastAsia="仿宋" w:cs="仿宋"/>
          <w:b/>
          <w:color w:val="auto"/>
          <w:sz w:val="36"/>
          <w:szCs w:val="36"/>
          <w:highlight w:val="none"/>
          <w:lang w:eastAsia="zh-CN"/>
        </w:rPr>
        <w:t xml:space="preserve">  </w:t>
      </w: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rPr>
          <w:rFonts w:hint="eastAsia" w:ascii="仿宋" w:hAnsi="仿宋" w:eastAsia="仿宋" w:cs="仿宋"/>
          <w:color w:val="auto"/>
          <w:sz w:val="24"/>
          <w:highlight w:val="none"/>
        </w:rPr>
      </w:pPr>
    </w:p>
    <w:p>
      <w:pPr>
        <w:spacing w:line="360" w:lineRule="auto"/>
        <w:rPr>
          <w:rFonts w:hint="eastAsia" w:ascii="仿宋" w:hAnsi="仿宋" w:eastAsia="仿宋" w:cs="仿宋"/>
          <w:color w:val="auto"/>
          <w:sz w:val="24"/>
          <w:highlight w:val="none"/>
        </w:rPr>
      </w:pPr>
    </w:p>
    <w:p>
      <w:pPr>
        <w:spacing w:line="900" w:lineRule="exact"/>
        <w:ind w:firstLine="1980" w:firstLineChars="825"/>
        <w:rPr>
          <w:rFonts w:hint="eastAsia" w:ascii="仿宋" w:hAnsi="仿宋" w:eastAsia="仿宋" w:cs="仿宋"/>
          <w:color w:val="auto"/>
          <w:sz w:val="24"/>
          <w:highlight w:val="none"/>
        </w:rPr>
      </w:pPr>
      <w:r>
        <w:rPr>
          <w:rFonts w:hint="eastAsia" w:ascii="仿宋" w:hAnsi="仿宋" w:eastAsia="仿宋" w:cs="仿宋"/>
          <w:color w:val="auto"/>
          <w:sz w:val="24"/>
          <w:highlight w:val="none"/>
        </w:rPr>
        <w:t>投标人：</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（盖单位公章）</w:t>
      </w:r>
    </w:p>
    <w:p>
      <w:pPr>
        <w:spacing w:line="900" w:lineRule="exact"/>
        <w:ind w:firstLine="1980" w:firstLineChars="825"/>
        <w:rPr>
          <w:rFonts w:hint="eastAsia" w:ascii="仿宋" w:hAnsi="仿宋" w:eastAsia="仿宋" w:cs="仿宋"/>
          <w:color w:val="auto"/>
          <w:sz w:val="24"/>
          <w:highlight w:val="none"/>
        </w:rPr>
      </w:pPr>
      <w:r>
        <w:rPr>
          <w:rFonts w:hint="eastAsia" w:ascii="仿宋" w:hAnsi="仿宋" w:eastAsia="仿宋" w:cs="仿宋"/>
          <w:color w:val="auto"/>
          <w:sz w:val="24"/>
          <w:highlight w:val="none"/>
        </w:rPr>
        <w:t>法定代表人或其委托代理人：</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（签字或盖章）</w:t>
      </w:r>
    </w:p>
    <w:p>
      <w:pPr>
        <w:spacing w:line="900" w:lineRule="exact"/>
        <w:ind w:firstLine="2340" w:firstLineChars="975"/>
        <w:rPr>
          <w:rFonts w:hint="eastAsia" w:ascii="仿宋" w:hAnsi="仿宋" w:eastAsia="仿宋" w:cs="仿宋"/>
          <w:color w:val="auto"/>
          <w:sz w:val="24"/>
          <w:highlight w:val="none"/>
        </w:rPr>
      </w:pP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年</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日</w:t>
      </w:r>
    </w:p>
    <w:p>
      <w:pPr>
        <w:rPr>
          <w:rFonts w:hint="eastAsia" w:ascii="仿宋" w:hAnsi="仿宋" w:eastAsia="仿宋" w:cs="仿宋"/>
          <w:color w:val="auto"/>
          <w:highlight w:val="none"/>
        </w:rPr>
      </w:pPr>
      <w:r>
        <w:rPr>
          <w:rFonts w:hint="eastAsia" w:ascii="仿宋" w:hAnsi="仿宋" w:eastAsia="仿宋" w:cs="仿宋"/>
          <w:color w:val="auto"/>
          <w:highlight w:val="none"/>
        </w:rPr>
        <w:br w:type="page"/>
      </w:r>
    </w:p>
    <w:p>
      <w:pPr>
        <w:tabs>
          <w:tab w:val="left" w:pos="1021"/>
        </w:tabs>
        <w:ind w:left="425"/>
        <w:jc w:val="center"/>
        <w:rPr>
          <w:rFonts w:hint="eastAsia" w:ascii="仿宋" w:hAnsi="仿宋" w:eastAsia="仿宋" w:cs="仿宋"/>
          <w:color w:val="auto"/>
          <w:sz w:val="32"/>
          <w:highlight w:val="none"/>
        </w:rPr>
      </w:pPr>
      <w:bookmarkStart w:id="310" w:name="_Toc7178"/>
      <w:bookmarkStart w:id="311" w:name="_Toc32739"/>
      <w:bookmarkStart w:id="312" w:name="_Toc7489"/>
      <w:bookmarkStart w:id="313" w:name="_Toc5"/>
      <w:bookmarkStart w:id="314" w:name="_Toc24395"/>
      <w:bookmarkStart w:id="315" w:name="_Toc28245"/>
      <w:r>
        <w:rPr>
          <w:rFonts w:hint="eastAsia" w:ascii="仿宋" w:hAnsi="仿宋" w:eastAsia="仿宋" w:cs="仿宋"/>
          <w:color w:val="auto"/>
          <w:sz w:val="32"/>
          <w:highlight w:val="none"/>
        </w:rPr>
        <w:t>响应文件目录</w:t>
      </w:r>
      <w:bookmarkEnd w:id="310"/>
      <w:bookmarkEnd w:id="311"/>
      <w:bookmarkEnd w:id="312"/>
      <w:bookmarkEnd w:id="313"/>
      <w:bookmarkEnd w:id="314"/>
      <w:bookmarkEnd w:id="315"/>
    </w:p>
    <w:p>
      <w:pPr>
        <w:spacing w:line="360" w:lineRule="auto"/>
        <w:jc w:val="left"/>
        <w:rPr>
          <w:rFonts w:hint="eastAsia" w:ascii="仿宋" w:hAnsi="仿宋" w:eastAsia="仿宋" w:cs="仿宋"/>
          <w:b/>
          <w:color w:val="auto"/>
          <w:szCs w:val="21"/>
          <w:highlight w:val="none"/>
        </w:rPr>
        <w:sectPr>
          <w:pgSz w:w="11906" w:h="16838"/>
          <w:pgMar w:top="1247" w:right="1134" w:bottom="1134" w:left="1247" w:header="510" w:footer="680" w:gutter="0"/>
          <w:pgNumType w:fmt="decimal"/>
          <w:cols w:space="720" w:num="1"/>
          <w:docGrid w:type="lines" w:linePitch="312" w:charSpace="0"/>
        </w:sectPr>
      </w:pPr>
      <w:r>
        <w:rPr>
          <w:rFonts w:hint="eastAsia" w:ascii="仿宋" w:hAnsi="仿宋" w:eastAsia="仿宋" w:cs="仿宋"/>
          <w:b/>
          <w:color w:val="auto"/>
          <w:szCs w:val="21"/>
          <w:highlight w:val="none"/>
        </w:rPr>
        <w:t>注：格式自拟，响应文件内容须按照目录顺序进行装订，并每页连续标注页码</w:t>
      </w:r>
    </w:p>
    <w:p>
      <w:pPr>
        <w:spacing w:line="480" w:lineRule="auto"/>
        <w:jc w:val="center"/>
        <w:outlineLvl w:val="1"/>
        <w:rPr>
          <w:rFonts w:hint="eastAsia" w:ascii="仿宋" w:hAnsi="仿宋" w:eastAsia="仿宋" w:cs="仿宋"/>
          <w:b/>
          <w:bCs/>
          <w:color w:val="auto"/>
          <w:sz w:val="32"/>
          <w:szCs w:val="28"/>
          <w:highlight w:val="none"/>
        </w:rPr>
      </w:pPr>
      <w:bookmarkStart w:id="316" w:name="_Toc23315"/>
      <w:r>
        <w:rPr>
          <w:rFonts w:hint="eastAsia" w:ascii="仿宋" w:hAnsi="仿宋" w:eastAsia="仿宋" w:cs="仿宋"/>
          <w:b/>
          <w:bCs/>
          <w:color w:val="auto"/>
          <w:sz w:val="32"/>
          <w:szCs w:val="28"/>
          <w:highlight w:val="none"/>
        </w:rPr>
        <w:t xml:space="preserve">第一部分 </w:t>
      </w:r>
      <w:r>
        <w:rPr>
          <w:rFonts w:hint="eastAsia" w:ascii="仿宋" w:hAnsi="仿宋" w:eastAsia="仿宋" w:cs="仿宋"/>
          <w:b/>
          <w:bCs/>
          <w:color w:val="auto"/>
          <w:sz w:val="32"/>
          <w:szCs w:val="28"/>
          <w:highlight w:val="none"/>
          <w:lang w:eastAsia="zh-CN"/>
        </w:rPr>
        <w:t>响应文件</w:t>
      </w:r>
      <w:r>
        <w:rPr>
          <w:rFonts w:hint="eastAsia" w:ascii="仿宋" w:hAnsi="仿宋" w:eastAsia="仿宋" w:cs="仿宋"/>
          <w:b/>
          <w:bCs/>
          <w:color w:val="auto"/>
          <w:sz w:val="32"/>
          <w:szCs w:val="28"/>
          <w:highlight w:val="none"/>
        </w:rPr>
        <w:t>资格审查部分格式</w:t>
      </w:r>
      <w:bookmarkEnd w:id="316"/>
    </w:p>
    <w:p>
      <w:pPr>
        <w:pStyle w:val="4"/>
        <w:numPr>
          <w:ilvl w:val="2"/>
          <w:numId w:val="0"/>
        </w:numPr>
        <w:spacing w:before="156" w:beforeLines="50" w:after="156" w:afterLines="50"/>
        <w:rPr>
          <w:rFonts w:hint="eastAsia" w:ascii="仿宋" w:hAnsi="仿宋" w:eastAsia="仿宋" w:cs="仿宋"/>
          <w:b w:val="0"/>
          <w:color w:val="auto"/>
          <w:sz w:val="28"/>
          <w:szCs w:val="28"/>
          <w:highlight w:val="none"/>
        </w:rPr>
      </w:pPr>
      <w:bookmarkStart w:id="317" w:name="_Toc17431"/>
      <w:bookmarkStart w:id="318" w:name="_Toc366144105"/>
      <w:bookmarkStart w:id="319" w:name="_Toc10873"/>
      <w:bookmarkStart w:id="320" w:name="_Toc6392"/>
      <w:bookmarkStart w:id="321" w:name="_Toc5204"/>
      <w:r>
        <w:rPr>
          <w:rFonts w:hint="eastAsia" w:ascii="仿宋" w:hAnsi="仿宋" w:eastAsia="仿宋" w:cs="仿宋"/>
          <w:b w:val="0"/>
          <w:color w:val="auto"/>
          <w:sz w:val="28"/>
          <w:szCs w:val="28"/>
          <w:highlight w:val="none"/>
        </w:rPr>
        <w:t>一、投标人基本情况表</w:t>
      </w:r>
      <w:bookmarkEnd w:id="317"/>
      <w:bookmarkEnd w:id="318"/>
      <w:bookmarkEnd w:id="319"/>
      <w:bookmarkEnd w:id="320"/>
      <w:bookmarkEnd w:id="321"/>
    </w:p>
    <w:tbl>
      <w:tblPr>
        <w:tblStyle w:val="3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39"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2" w:name="_Toc232075047"/>
            <w:r>
              <w:rPr>
                <w:rFonts w:hint="eastAsia" w:ascii="仿宋" w:hAnsi="仿宋" w:eastAsia="仿宋" w:cs="仿宋"/>
                <w:color w:val="auto"/>
                <w:kern w:val="0"/>
                <w:highlight w:val="none"/>
                <w:lang w:val="zh-CN"/>
              </w:rPr>
              <w:t>投标人名称</w:t>
            </w:r>
            <w:bookmarkEnd w:id="322"/>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3" w:name="_Toc232075048"/>
            <w:r>
              <w:rPr>
                <w:rFonts w:hint="eastAsia" w:ascii="仿宋" w:hAnsi="仿宋" w:eastAsia="仿宋" w:cs="仿宋"/>
                <w:color w:val="auto"/>
                <w:kern w:val="0"/>
                <w:highlight w:val="none"/>
                <w:lang w:val="zh-CN"/>
              </w:rPr>
              <w:t>注册地址</w:t>
            </w:r>
            <w:bookmarkEnd w:id="323"/>
          </w:p>
        </w:tc>
        <w:tc>
          <w:tcPr>
            <w:tcW w:w="3836" w:type="dxa"/>
            <w:gridSpan w:val="2"/>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4" w:name="_Toc232075049"/>
            <w:r>
              <w:rPr>
                <w:rFonts w:hint="eastAsia" w:ascii="仿宋" w:hAnsi="仿宋" w:eastAsia="仿宋" w:cs="仿宋"/>
                <w:color w:val="auto"/>
                <w:kern w:val="0"/>
                <w:highlight w:val="none"/>
                <w:lang w:val="zh-CN"/>
              </w:rPr>
              <w:t>邮政编码</w:t>
            </w:r>
            <w:bookmarkEnd w:id="324"/>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Merge w:val="restart"/>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5" w:name="_Toc232075050"/>
            <w:r>
              <w:rPr>
                <w:rFonts w:hint="eastAsia" w:ascii="仿宋" w:hAnsi="仿宋" w:eastAsia="仿宋" w:cs="仿宋"/>
                <w:color w:val="auto"/>
                <w:kern w:val="0"/>
                <w:highlight w:val="none"/>
                <w:lang w:val="zh-CN"/>
              </w:rPr>
              <w:t>联系方式</w:t>
            </w:r>
            <w:bookmarkEnd w:id="325"/>
          </w:p>
        </w:tc>
        <w:tc>
          <w:tcPr>
            <w:tcW w:w="1311"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6" w:name="_Toc232075051"/>
            <w:r>
              <w:rPr>
                <w:rFonts w:hint="eastAsia" w:ascii="仿宋" w:hAnsi="仿宋" w:eastAsia="仿宋" w:cs="仿宋"/>
                <w:color w:val="auto"/>
                <w:kern w:val="0"/>
                <w:highlight w:val="none"/>
                <w:lang w:val="zh-CN"/>
              </w:rPr>
              <w:t>联系人</w:t>
            </w:r>
            <w:bookmarkEnd w:id="326"/>
          </w:p>
        </w:tc>
        <w:tc>
          <w:tcPr>
            <w:tcW w:w="2525"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7" w:name="_Toc232075052"/>
            <w:r>
              <w:rPr>
                <w:rFonts w:hint="eastAsia" w:ascii="仿宋" w:hAnsi="仿宋" w:eastAsia="仿宋" w:cs="仿宋"/>
                <w:color w:val="auto"/>
                <w:kern w:val="0"/>
                <w:highlight w:val="none"/>
                <w:lang w:val="zh-CN"/>
              </w:rPr>
              <w:t>电    话</w:t>
            </w:r>
            <w:bookmarkEnd w:id="327"/>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Merge w:val="continue"/>
            <w:vAlign w:val="center"/>
          </w:tcPr>
          <w:p>
            <w:pPr>
              <w:rPr>
                <w:rFonts w:hint="eastAsia" w:ascii="仿宋" w:hAnsi="仿宋" w:eastAsia="仿宋" w:cs="仿宋"/>
                <w:color w:val="auto"/>
                <w:highlight w:val="none"/>
              </w:rPr>
            </w:pPr>
          </w:p>
        </w:tc>
        <w:tc>
          <w:tcPr>
            <w:tcW w:w="1311"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8" w:name="_Toc232075053"/>
            <w:r>
              <w:rPr>
                <w:rFonts w:hint="eastAsia" w:ascii="仿宋" w:hAnsi="仿宋" w:eastAsia="仿宋" w:cs="仿宋"/>
                <w:color w:val="auto"/>
                <w:kern w:val="0"/>
                <w:highlight w:val="none"/>
                <w:lang w:val="zh-CN"/>
              </w:rPr>
              <w:t>传  真</w:t>
            </w:r>
            <w:bookmarkEnd w:id="328"/>
          </w:p>
        </w:tc>
        <w:tc>
          <w:tcPr>
            <w:tcW w:w="2525"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9" w:name="_Toc232075054"/>
            <w:r>
              <w:rPr>
                <w:rFonts w:hint="eastAsia" w:ascii="仿宋" w:hAnsi="仿宋" w:eastAsia="仿宋" w:cs="仿宋"/>
                <w:color w:val="auto"/>
                <w:kern w:val="0"/>
                <w:highlight w:val="none"/>
                <w:lang w:val="zh-CN"/>
              </w:rPr>
              <w:t>网    址</w:t>
            </w:r>
            <w:bookmarkEnd w:id="329"/>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0" w:name="_Toc232075056"/>
            <w:r>
              <w:rPr>
                <w:rFonts w:hint="eastAsia" w:ascii="仿宋" w:hAnsi="仿宋" w:eastAsia="仿宋" w:cs="仿宋"/>
                <w:color w:val="auto"/>
                <w:kern w:val="0"/>
                <w:highlight w:val="none"/>
                <w:lang w:val="zh-CN"/>
              </w:rPr>
              <w:t>法定代表人</w:t>
            </w:r>
            <w:bookmarkEnd w:id="330"/>
          </w:p>
        </w:tc>
        <w:tc>
          <w:tcPr>
            <w:tcW w:w="1311"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1" w:name="_Toc232075057"/>
            <w:r>
              <w:rPr>
                <w:rFonts w:hint="eastAsia" w:ascii="仿宋" w:hAnsi="仿宋" w:eastAsia="仿宋" w:cs="仿宋"/>
                <w:color w:val="auto"/>
                <w:kern w:val="0"/>
                <w:highlight w:val="none"/>
                <w:lang w:val="zh-CN"/>
              </w:rPr>
              <w:t>姓名</w:t>
            </w:r>
            <w:bookmarkEnd w:id="331"/>
          </w:p>
        </w:tc>
        <w:tc>
          <w:tcPr>
            <w:tcW w:w="2525"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2" w:name="_Toc232075059"/>
            <w:r>
              <w:rPr>
                <w:rFonts w:hint="eastAsia" w:ascii="仿宋" w:hAnsi="仿宋" w:eastAsia="仿宋" w:cs="仿宋"/>
                <w:color w:val="auto"/>
                <w:kern w:val="0"/>
                <w:highlight w:val="none"/>
                <w:lang w:val="zh-CN"/>
              </w:rPr>
              <w:t>电话</w:t>
            </w:r>
            <w:bookmarkEnd w:id="332"/>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3" w:name="_Toc232075064"/>
            <w:r>
              <w:rPr>
                <w:rFonts w:hint="eastAsia" w:ascii="仿宋" w:hAnsi="仿宋" w:eastAsia="仿宋" w:cs="仿宋"/>
                <w:color w:val="auto"/>
                <w:kern w:val="0"/>
                <w:highlight w:val="none"/>
                <w:lang w:val="zh-CN"/>
              </w:rPr>
              <w:t>成立时间</w:t>
            </w:r>
            <w:bookmarkEnd w:id="333"/>
          </w:p>
        </w:tc>
        <w:tc>
          <w:tcPr>
            <w:tcW w:w="3836" w:type="dxa"/>
            <w:gridSpan w:val="2"/>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4" w:name="_Toc232075065"/>
            <w:r>
              <w:rPr>
                <w:rFonts w:hint="eastAsia" w:ascii="仿宋" w:hAnsi="仿宋" w:eastAsia="仿宋" w:cs="仿宋"/>
                <w:color w:val="auto"/>
                <w:kern w:val="0"/>
                <w:highlight w:val="none"/>
                <w:lang w:val="zh-CN"/>
              </w:rPr>
              <w:t>员工总人数：</w:t>
            </w:r>
            <w:bookmarkEnd w:id="334"/>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5" w:name="_Toc232075069"/>
            <w:r>
              <w:rPr>
                <w:rFonts w:hint="eastAsia" w:ascii="仿宋" w:hAnsi="仿宋" w:eastAsia="仿宋" w:cs="仿宋"/>
                <w:color w:val="auto"/>
                <w:kern w:val="0"/>
                <w:highlight w:val="none"/>
                <w:lang w:val="zh-CN"/>
              </w:rPr>
              <w:t>营业执照号</w:t>
            </w:r>
            <w:bookmarkEnd w:id="335"/>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6" w:name="_Toc232075071"/>
            <w:r>
              <w:rPr>
                <w:rFonts w:hint="eastAsia" w:ascii="仿宋" w:hAnsi="仿宋" w:eastAsia="仿宋" w:cs="仿宋"/>
                <w:color w:val="auto"/>
                <w:kern w:val="0"/>
                <w:highlight w:val="none"/>
                <w:lang w:val="zh-CN"/>
              </w:rPr>
              <w:t>注册资金</w:t>
            </w:r>
            <w:bookmarkEnd w:id="336"/>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7" w:name="_Toc232075073"/>
            <w:r>
              <w:rPr>
                <w:rFonts w:hint="eastAsia" w:ascii="仿宋" w:hAnsi="仿宋" w:eastAsia="仿宋" w:cs="仿宋"/>
                <w:color w:val="auto"/>
                <w:kern w:val="0"/>
                <w:highlight w:val="none"/>
                <w:lang w:val="zh-CN"/>
              </w:rPr>
              <w:t>开户银行</w:t>
            </w:r>
            <w:bookmarkEnd w:id="337"/>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8" w:name="_Toc232075075"/>
            <w:r>
              <w:rPr>
                <w:rFonts w:hint="eastAsia" w:ascii="仿宋" w:hAnsi="仿宋" w:eastAsia="仿宋" w:cs="仿宋"/>
                <w:color w:val="auto"/>
                <w:kern w:val="0"/>
                <w:highlight w:val="none"/>
                <w:lang w:val="zh-CN"/>
              </w:rPr>
              <w:t>账号</w:t>
            </w:r>
            <w:bookmarkEnd w:id="338"/>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9" w:name="_Toc232075077"/>
            <w:r>
              <w:rPr>
                <w:rFonts w:hint="eastAsia" w:ascii="仿宋" w:hAnsi="仿宋" w:eastAsia="仿宋" w:cs="仿宋"/>
                <w:color w:val="auto"/>
                <w:kern w:val="0"/>
                <w:highlight w:val="none"/>
                <w:lang w:val="zh-CN"/>
              </w:rPr>
              <w:t>经营范围</w:t>
            </w:r>
            <w:bookmarkEnd w:id="339"/>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40" w:name="_Toc232075078"/>
            <w:r>
              <w:rPr>
                <w:rFonts w:hint="eastAsia" w:ascii="仿宋" w:hAnsi="仿宋" w:eastAsia="仿宋" w:cs="仿宋"/>
                <w:color w:val="auto"/>
                <w:kern w:val="0"/>
                <w:highlight w:val="none"/>
                <w:lang w:val="zh-CN"/>
              </w:rPr>
              <w:t>备注</w:t>
            </w:r>
            <w:bookmarkEnd w:id="340"/>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bl>
    <w:p>
      <w:pPr>
        <w:ind w:firstLine="417" w:firstLineChars="199"/>
        <w:rPr>
          <w:rFonts w:hint="eastAsia" w:ascii="仿宋" w:hAnsi="仿宋" w:eastAsia="仿宋" w:cs="仿宋"/>
          <w:color w:val="auto"/>
          <w:kern w:val="0"/>
          <w:position w:val="-1"/>
          <w:szCs w:val="22"/>
          <w:highlight w:val="none"/>
        </w:rPr>
      </w:pPr>
      <w:r>
        <w:rPr>
          <w:rFonts w:hint="eastAsia" w:ascii="仿宋" w:hAnsi="仿宋" w:eastAsia="仿宋" w:cs="仿宋"/>
          <w:color w:val="auto"/>
          <w:kern w:val="0"/>
          <w:position w:val="-1"/>
          <w:szCs w:val="22"/>
          <w:highlight w:val="none"/>
        </w:rPr>
        <w:t>附：营业执照副本等相关资料的扫描件。</w:t>
      </w:r>
    </w:p>
    <w:p>
      <w:pPr>
        <w:rPr>
          <w:rFonts w:hint="eastAsia" w:ascii="仿宋" w:hAnsi="仿宋" w:eastAsia="仿宋" w:cs="仿宋"/>
          <w:color w:val="auto"/>
          <w:kern w:val="0"/>
          <w:position w:val="-1"/>
          <w:szCs w:val="22"/>
          <w:highlight w:val="none"/>
        </w:rPr>
        <w:sectPr>
          <w:pgSz w:w="11906" w:h="16838"/>
          <w:pgMar w:top="1440" w:right="1080" w:bottom="1440" w:left="1080" w:header="543" w:footer="617" w:gutter="0"/>
          <w:pgNumType w:fmt="decimal"/>
          <w:cols w:space="720" w:num="1"/>
          <w:docGrid w:type="linesAndChars" w:linePitch="312" w:charSpace="0"/>
        </w:sectPr>
      </w:pPr>
    </w:p>
    <w:p>
      <w:pPr>
        <w:pStyle w:val="4"/>
        <w:numPr>
          <w:ilvl w:val="2"/>
          <w:numId w:val="0"/>
        </w:numPr>
        <w:spacing w:before="156" w:beforeLines="50" w:after="156" w:afterLines="50"/>
        <w:rPr>
          <w:rFonts w:hint="eastAsia" w:ascii="仿宋" w:hAnsi="仿宋" w:eastAsia="仿宋" w:cs="仿宋"/>
          <w:b w:val="0"/>
          <w:color w:val="auto"/>
          <w:sz w:val="28"/>
          <w:szCs w:val="28"/>
          <w:highlight w:val="none"/>
        </w:rPr>
      </w:pPr>
      <w:bookmarkStart w:id="341" w:name="_Toc13074"/>
      <w:bookmarkStart w:id="342" w:name="_Toc31500"/>
      <w:bookmarkStart w:id="343" w:name="_Toc21711"/>
      <w:bookmarkStart w:id="344" w:name="_Toc3111"/>
      <w:bookmarkStart w:id="345" w:name="_Toc366144106"/>
      <w:r>
        <w:rPr>
          <w:rFonts w:hint="eastAsia" w:ascii="仿宋" w:hAnsi="仿宋" w:eastAsia="仿宋" w:cs="仿宋"/>
          <w:b w:val="0"/>
          <w:color w:val="auto"/>
          <w:sz w:val="28"/>
          <w:szCs w:val="28"/>
          <w:highlight w:val="none"/>
        </w:rPr>
        <w:t>二、法定代表人身份证明及授权委托书</w:t>
      </w:r>
      <w:bookmarkEnd w:id="341"/>
      <w:bookmarkEnd w:id="342"/>
      <w:bookmarkEnd w:id="343"/>
      <w:bookmarkEnd w:id="344"/>
      <w:bookmarkEnd w:id="345"/>
    </w:p>
    <w:p>
      <w:pPr>
        <w:rPr>
          <w:rFonts w:hint="eastAsia" w:ascii="仿宋" w:hAnsi="仿宋" w:eastAsia="仿宋" w:cs="仿宋"/>
          <w:color w:val="auto"/>
          <w:szCs w:val="21"/>
          <w:highlight w:val="none"/>
        </w:rPr>
      </w:pPr>
    </w:p>
    <w:p>
      <w:pPr>
        <w:pStyle w:val="5"/>
        <w:jc w:val="center"/>
        <w:rPr>
          <w:rFonts w:hint="eastAsia" w:ascii="仿宋" w:hAnsi="仿宋" w:eastAsia="仿宋" w:cs="仿宋"/>
          <w:bCs/>
          <w:color w:val="auto"/>
          <w:sz w:val="24"/>
          <w:highlight w:val="none"/>
        </w:rPr>
      </w:pPr>
      <w:bookmarkStart w:id="346" w:name="_Toc229583228"/>
      <w:r>
        <w:rPr>
          <w:rFonts w:hint="eastAsia" w:ascii="仿宋" w:hAnsi="仿宋" w:eastAsia="仿宋" w:cs="仿宋"/>
          <w:bCs/>
          <w:color w:val="auto"/>
          <w:sz w:val="24"/>
          <w:highlight w:val="none"/>
        </w:rPr>
        <w:t>（一）法定代表人身份证明书</w:t>
      </w:r>
      <w:bookmarkEnd w:id="346"/>
    </w:p>
    <w:p>
      <w:pPr>
        <w:spacing w:line="360" w:lineRule="auto"/>
        <w:ind w:firstLine="612"/>
        <w:rPr>
          <w:rFonts w:hint="eastAsia" w:ascii="仿宋" w:hAnsi="仿宋" w:eastAsia="仿宋" w:cs="仿宋"/>
          <w:color w:val="auto"/>
          <w:szCs w:val="21"/>
          <w:highlight w:val="none"/>
        </w:rPr>
      </w:pPr>
      <w:r>
        <w:rPr>
          <w:rFonts w:hint="eastAsia" w:ascii="仿宋" w:hAnsi="仿宋" w:eastAsia="仿宋" w:cs="仿宋"/>
          <w:color w:val="auto"/>
          <w:szCs w:val="21"/>
          <w:highlight w:val="none"/>
        </w:rPr>
        <w:t>单位名称：</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单位性质：</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地    址：</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p>
    <w:p>
      <w:pPr>
        <w:spacing w:line="360" w:lineRule="auto"/>
        <w:ind w:firstLine="610"/>
        <w:rPr>
          <w:rFonts w:hint="eastAsia" w:ascii="仿宋" w:hAnsi="仿宋" w:eastAsia="仿宋" w:cs="仿宋"/>
          <w:color w:val="auto"/>
          <w:szCs w:val="21"/>
          <w:highlight w:val="none"/>
        </w:rPr>
      </w:pPr>
      <w:r>
        <w:rPr>
          <w:rFonts w:hint="eastAsia" w:ascii="仿宋" w:hAnsi="仿宋" w:eastAsia="仿宋" w:cs="仿宋"/>
          <w:color w:val="auto"/>
          <w:szCs w:val="21"/>
          <w:highlight w:val="none"/>
        </w:rPr>
        <w:t>成立时间：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经营期限：</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姓    名：</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 xml:space="preserve"> 性别：</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年龄：</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职务：</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p>
    <w:p>
      <w:pPr>
        <w:spacing w:line="360" w:lineRule="auto"/>
        <w:ind w:firstLine="610"/>
        <w:rPr>
          <w:rFonts w:hint="eastAsia" w:ascii="仿宋" w:hAnsi="仿宋" w:eastAsia="仿宋" w:cs="仿宋"/>
          <w:color w:val="auto"/>
          <w:szCs w:val="21"/>
          <w:highlight w:val="none"/>
        </w:rPr>
      </w:pPr>
      <w:r>
        <w:rPr>
          <w:rFonts w:hint="eastAsia" w:ascii="仿宋" w:hAnsi="仿宋" w:eastAsia="仿宋" w:cs="仿宋"/>
          <w:color w:val="auto"/>
          <w:szCs w:val="21"/>
          <w:highlight w:val="none"/>
        </w:rPr>
        <w:t>系</w:t>
      </w:r>
      <w:r>
        <w:rPr>
          <w:rFonts w:hint="eastAsia" w:ascii="仿宋" w:hAnsi="仿宋" w:eastAsia="仿宋" w:cs="仿宋"/>
          <w:color w:val="auto"/>
          <w:szCs w:val="21"/>
          <w:highlight w:val="none"/>
          <w:u w:val="single"/>
        </w:rPr>
        <w:t xml:space="preserve">                                  （投标人单位名称） </w:t>
      </w:r>
      <w:r>
        <w:rPr>
          <w:rFonts w:hint="eastAsia" w:ascii="仿宋" w:hAnsi="仿宋" w:eastAsia="仿宋" w:cs="仿宋"/>
          <w:color w:val="auto"/>
          <w:szCs w:val="21"/>
          <w:highlight w:val="none"/>
        </w:rPr>
        <w:t>的法定代表人。</w:t>
      </w:r>
    </w:p>
    <w:p>
      <w:pPr>
        <w:spacing w:line="360" w:lineRule="auto"/>
        <w:ind w:firstLine="610"/>
        <w:rPr>
          <w:rFonts w:hint="eastAsia" w:ascii="仿宋" w:hAnsi="仿宋" w:eastAsia="仿宋" w:cs="仿宋"/>
          <w:color w:val="auto"/>
          <w:szCs w:val="21"/>
          <w:highlight w:val="none"/>
        </w:rPr>
      </w:pPr>
    </w:p>
    <w:p>
      <w:pPr>
        <w:spacing w:line="360" w:lineRule="auto"/>
        <w:ind w:firstLine="610"/>
        <w:rPr>
          <w:rFonts w:hint="eastAsia" w:ascii="仿宋" w:hAnsi="仿宋" w:eastAsia="仿宋" w:cs="仿宋"/>
          <w:color w:val="auto"/>
          <w:szCs w:val="21"/>
          <w:highlight w:val="none"/>
        </w:rPr>
      </w:pPr>
      <w:r>
        <w:rPr>
          <w:rFonts w:hint="eastAsia" w:ascii="仿宋" w:hAnsi="仿宋" w:eastAsia="仿宋" w:cs="仿宋"/>
          <w:color w:val="auto"/>
          <w:szCs w:val="21"/>
          <w:highlight w:val="none"/>
        </w:rPr>
        <w:t>特此证明。</w:t>
      </w:r>
    </w:p>
    <w:p>
      <w:pPr>
        <w:tabs>
          <w:tab w:val="left" w:pos="720"/>
          <w:tab w:val="left" w:pos="900"/>
        </w:tabs>
        <w:spacing w:line="360" w:lineRule="auto"/>
        <w:ind w:firstLine="420" w:firstLineChars="200"/>
        <w:rPr>
          <w:rFonts w:hint="eastAsia" w:ascii="仿宋" w:hAnsi="仿宋" w:eastAsia="仿宋" w:cs="仿宋"/>
          <w:color w:val="auto"/>
          <w:szCs w:val="21"/>
          <w:highlight w:val="none"/>
        </w:rPr>
      </w:pPr>
    </w:p>
    <w:p>
      <w:pPr>
        <w:tabs>
          <w:tab w:val="left" w:pos="720"/>
          <w:tab w:val="left" w:pos="900"/>
        </w:tabs>
        <w:spacing w:line="360" w:lineRule="auto"/>
        <w:ind w:firstLine="420" w:firstLineChars="200"/>
        <w:rPr>
          <w:rFonts w:hint="eastAsia" w:ascii="仿宋" w:hAnsi="仿宋" w:eastAsia="仿宋" w:cs="仿宋"/>
          <w:color w:val="auto"/>
          <w:szCs w:val="21"/>
          <w:highlight w:val="none"/>
        </w:rPr>
      </w:pPr>
    </w:p>
    <w:p>
      <w:pPr>
        <w:tabs>
          <w:tab w:val="left" w:pos="720"/>
          <w:tab w:val="left" w:pos="900"/>
        </w:tabs>
        <w:spacing w:line="360" w:lineRule="auto"/>
        <w:ind w:firstLine="420" w:firstLineChars="200"/>
        <w:rPr>
          <w:rFonts w:hint="eastAsia" w:ascii="仿宋" w:hAnsi="仿宋" w:eastAsia="仿宋" w:cs="仿宋"/>
          <w:color w:val="auto"/>
          <w:szCs w:val="21"/>
          <w:highlight w:val="none"/>
        </w:rPr>
      </w:pPr>
    </w:p>
    <w:p>
      <w:pPr>
        <w:spacing w:line="360" w:lineRule="auto"/>
        <w:ind w:firstLine="2125" w:firstLineChars="1012"/>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投标人（加盖鲜章）：</w:t>
      </w:r>
      <w:r>
        <w:rPr>
          <w:rFonts w:hint="eastAsia" w:ascii="仿宋" w:hAnsi="仿宋" w:eastAsia="仿宋" w:cs="仿宋"/>
          <w:color w:val="auto"/>
          <w:szCs w:val="21"/>
          <w:highlight w:val="none"/>
          <w:u w:val="single"/>
        </w:rPr>
        <w:t xml:space="preserve">                        </w:t>
      </w:r>
    </w:p>
    <w:p>
      <w:pPr>
        <w:spacing w:line="360" w:lineRule="auto"/>
        <w:ind w:firstLine="2125" w:firstLineChars="1012"/>
        <w:rPr>
          <w:rFonts w:hint="eastAsia" w:ascii="仿宋" w:hAnsi="仿宋" w:eastAsia="仿宋" w:cs="仿宋"/>
          <w:color w:val="auto"/>
          <w:szCs w:val="21"/>
          <w:highlight w:val="none"/>
        </w:rPr>
      </w:pPr>
      <w:r>
        <w:rPr>
          <w:rFonts w:hint="eastAsia" w:ascii="仿宋" w:hAnsi="仿宋" w:eastAsia="仿宋" w:cs="仿宋"/>
          <w:color w:val="auto"/>
          <w:szCs w:val="21"/>
          <w:highlight w:val="none"/>
        </w:rPr>
        <w:t>日  期：</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spacing w:line="360" w:lineRule="auto"/>
        <w:ind w:firstLine="2125" w:firstLineChars="1012"/>
        <w:rPr>
          <w:rFonts w:hint="eastAsia" w:ascii="仿宋" w:hAnsi="仿宋" w:eastAsia="仿宋" w:cs="仿宋"/>
          <w:color w:val="auto"/>
          <w:szCs w:val="21"/>
          <w:highlight w:val="none"/>
        </w:rPr>
      </w:pPr>
    </w:p>
    <w:p>
      <w:pPr>
        <w:spacing w:line="360" w:lineRule="auto"/>
        <w:ind w:firstLine="2125" w:firstLineChars="1012"/>
        <w:rPr>
          <w:rFonts w:hint="eastAsia" w:ascii="仿宋" w:hAnsi="仿宋" w:eastAsia="仿宋" w:cs="仿宋"/>
          <w:color w:val="auto"/>
          <w:szCs w:val="21"/>
          <w:highlight w:val="none"/>
        </w:rPr>
      </w:pPr>
    </w:p>
    <w:p>
      <w:pPr>
        <w:spacing w:line="360" w:lineRule="auto"/>
        <w:ind w:firstLine="358" w:firstLineChars="170"/>
        <w:rPr>
          <w:rFonts w:hint="eastAsia" w:ascii="仿宋" w:hAnsi="仿宋" w:eastAsia="仿宋" w:cs="仿宋"/>
          <w:b/>
          <w:color w:val="auto"/>
          <w:szCs w:val="21"/>
          <w:highlight w:val="none"/>
        </w:rPr>
      </w:pPr>
      <w:r>
        <w:rPr>
          <w:rFonts w:hint="eastAsia" w:ascii="仿宋" w:hAnsi="仿宋" w:eastAsia="仿宋" w:cs="仿宋"/>
          <w:b/>
          <w:color w:val="auto"/>
          <w:szCs w:val="21"/>
          <w:highlight w:val="none"/>
        </w:rPr>
        <w:t>注：附法定代表人身份证双面扫描件。</w:t>
      </w:r>
    </w:p>
    <w:p>
      <w:pPr>
        <w:rPr>
          <w:rFonts w:hint="eastAsia" w:ascii="仿宋" w:hAnsi="仿宋" w:eastAsia="仿宋" w:cs="仿宋"/>
          <w:bCs/>
          <w:color w:val="auto"/>
          <w:sz w:val="24"/>
          <w:highlight w:val="none"/>
        </w:rPr>
      </w:pPr>
      <w:bookmarkStart w:id="347" w:name="_Toc229583229"/>
      <w:r>
        <w:rPr>
          <w:rFonts w:hint="eastAsia" w:ascii="仿宋" w:hAnsi="仿宋" w:eastAsia="仿宋" w:cs="仿宋"/>
          <w:bCs/>
          <w:color w:val="auto"/>
          <w:sz w:val="24"/>
          <w:highlight w:val="none"/>
        </w:rPr>
        <w:br w:type="page"/>
      </w:r>
    </w:p>
    <w:p>
      <w:pPr>
        <w:pStyle w:val="5"/>
        <w:jc w:val="center"/>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（二）</w:t>
      </w:r>
      <w:r>
        <w:rPr>
          <w:rFonts w:hint="eastAsia" w:ascii="仿宋" w:hAnsi="仿宋" w:eastAsia="仿宋" w:cs="仿宋"/>
          <w:bCs/>
          <w:color w:val="auto"/>
          <w:sz w:val="24"/>
          <w:highlight w:val="none"/>
          <w:lang w:eastAsia="zh-CN"/>
        </w:rPr>
        <w:t>响应文件</w:t>
      </w:r>
      <w:r>
        <w:rPr>
          <w:rFonts w:hint="eastAsia" w:ascii="仿宋" w:hAnsi="仿宋" w:eastAsia="仿宋" w:cs="仿宋"/>
          <w:bCs/>
          <w:color w:val="auto"/>
          <w:sz w:val="24"/>
          <w:highlight w:val="none"/>
        </w:rPr>
        <w:t>签署授权委托书</w:t>
      </w:r>
      <w:bookmarkEnd w:id="347"/>
    </w:p>
    <w:p>
      <w:pPr>
        <w:spacing w:line="360" w:lineRule="auto"/>
        <w:ind w:firstLine="420" w:firstLineChars="200"/>
        <w:rPr>
          <w:rFonts w:hint="eastAsia" w:ascii="仿宋" w:hAnsi="仿宋" w:eastAsia="仿宋" w:cs="仿宋"/>
          <w:color w:val="auto"/>
          <w:szCs w:val="21"/>
          <w:highlight w:val="none"/>
        </w:rPr>
      </w:pPr>
    </w:p>
    <w:p>
      <w:pPr>
        <w:spacing w:line="360" w:lineRule="auto"/>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1"/>
          <w:highlight w:val="none"/>
        </w:rPr>
        <w:t>本授权委托书声明：我</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（姓名）系</w:t>
      </w:r>
      <w:r>
        <w:rPr>
          <w:rFonts w:hint="eastAsia" w:ascii="仿宋" w:hAnsi="仿宋" w:eastAsia="仿宋" w:cs="仿宋"/>
          <w:color w:val="auto"/>
          <w:szCs w:val="21"/>
          <w:highlight w:val="none"/>
          <w:u w:val="single"/>
        </w:rPr>
        <w:t xml:space="preserve">             （投标人名称）</w:t>
      </w:r>
      <w:r>
        <w:rPr>
          <w:rFonts w:hint="eastAsia" w:ascii="仿宋" w:hAnsi="仿宋" w:eastAsia="仿宋" w:cs="仿宋"/>
          <w:color w:val="auto"/>
          <w:szCs w:val="21"/>
          <w:highlight w:val="none"/>
        </w:rPr>
        <w:t>的法定代表人，现授权委托</w:t>
      </w:r>
      <w:r>
        <w:rPr>
          <w:rFonts w:hint="eastAsia" w:ascii="仿宋" w:hAnsi="仿宋" w:eastAsia="仿宋" w:cs="仿宋"/>
          <w:color w:val="auto"/>
          <w:szCs w:val="21"/>
          <w:highlight w:val="none"/>
          <w:u w:val="single"/>
        </w:rPr>
        <w:t xml:space="preserve">               （单位名称） </w:t>
      </w:r>
      <w:r>
        <w:rPr>
          <w:rFonts w:hint="eastAsia" w:ascii="仿宋" w:hAnsi="仿宋" w:eastAsia="仿宋" w:cs="仿宋"/>
          <w:color w:val="auto"/>
          <w:szCs w:val="21"/>
          <w:highlight w:val="none"/>
        </w:rPr>
        <w:t>的</w:t>
      </w:r>
      <w:r>
        <w:rPr>
          <w:rFonts w:hint="eastAsia" w:ascii="仿宋" w:hAnsi="仿宋" w:eastAsia="仿宋" w:cs="仿宋"/>
          <w:color w:val="auto"/>
          <w:szCs w:val="21"/>
          <w:highlight w:val="none"/>
          <w:u w:val="single"/>
        </w:rPr>
        <w:t xml:space="preserve">           （姓名）</w:t>
      </w:r>
      <w:r>
        <w:rPr>
          <w:rFonts w:hint="eastAsia" w:ascii="仿宋" w:hAnsi="仿宋" w:eastAsia="仿宋" w:cs="仿宋"/>
          <w:color w:val="auto"/>
          <w:szCs w:val="21"/>
          <w:highlight w:val="none"/>
        </w:rPr>
        <w:t>为我公司签署本项目</w:t>
      </w:r>
      <w:r>
        <w:rPr>
          <w:rFonts w:hint="eastAsia" w:ascii="仿宋" w:hAnsi="仿宋" w:eastAsia="仿宋" w:cs="仿宋"/>
          <w:color w:val="auto"/>
          <w:szCs w:val="21"/>
          <w:highlight w:val="none"/>
          <w:u w:val="single"/>
        </w:rPr>
        <w:t xml:space="preserve">        （项目名称）</w:t>
      </w:r>
      <w:r>
        <w:rPr>
          <w:rFonts w:hint="eastAsia" w:ascii="仿宋" w:hAnsi="仿宋" w:eastAsia="仿宋" w:cs="仿宋"/>
          <w:color w:val="auto"/>
          <w:szCs w:val="21"/>
          <w:highlight w:val="none"/>
        </w:rPr>
        <w:t>的</w:t>
      </w:r>
      <w:r>
        <w:rPr>
          <w:rFonts w:hint="eastAsia" w:ascii="仿宋" w:hAnsi="仿宋" w:eastAsia="仿宋" w:cs="仿宋"/>
          <w:color w:val="auto"/>
          <w:szCs w:val="21"/>
          <w:highlight w:val="none"/>
          <w:lang w:eastAsia="zh-CN"/>
        </w:rPr>
        <w:t>响应文件</w:t>
      </w:r>
      <w:r>
        <w:rPr>
          <w:rFonts w:hint="eastAsia" w:ascii="仿宋" w:hAnsi="仿宋" w:eastAsia="仿宋" w:cs="仿宋"/>
          <w:color w:val="auto"/>
          <w:szCs w:val="21"/>
          <w:highlight w:val="none"/>
        </w:rPr>
        <w:t>的法定代表人授权委托代理人，我承认代理人全权代表我所签署的本工程的</w:t>
      </w:r>
      <w:r>
        <w:rPr>
          <w:rFonts w:hint="eastAsia" w:ascii="仿宋" w:hAnsi="仿宋" w:eastAsia="仿宋" w:cs="仿宋"/>
          <w:color w:val="auto"/>
          <w:szCs w:val="21"/>
          <w:highlight w:val="none"/>
          <w:lang w:eastAsia="zh-CN"/>
        </w:rPr>
        <w:t>响应文件</w:t>
      </w:r>
      <w:r>
        <w:rPr>
          <w:rFonts w:hint="eastAsia" w:ascii="仿宋" w:hAnsi="仿宋" w:eastAsia="仿宋" w:cs="仿宋"/>
          <w:color w:val="auto"/>
          <w:szCs w:val="21"/>
          <w:highlight w:val="none"/>
        </w:rPr>
        <w:t>的内容。</w:t>
      </w:r>
    </w:p>
    <w:p>
      <w:pPr>
        <w:spacing w:line="360" w:lineRule="auto"/>
        <w:ind w:firstLine="472" w:firstLineChars="225"/>
        <w:rPr>
          <w:rFonts w:hint="eastAsia" w:ascii="仿宋" w:hAnsi="仿宋" w:eastAsia="仿宋" w:cs="仿宋"/>
          <w:color w:val="auto"/>
          <w:szCs w:val="21"/>
          <w:highlight w:val="none"/>
        </w:rPr>
      </w:pPr>
      <w:r>
        <w:rPr>
          <w:rFonts w:hint="eastAsia" w:ascii="仿宋" w:hAnsi="仿宋" w:eastAsia="仿宋" w:cs="仿宋"/>
          <w:color w:val="auto"/>
          <w:szCs w:val="21"/>
          <w:highlight w:val="none"/>
        </w:rPr>
        <w:t>委托期限：</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w:t>
      </w:r>
    </w:p>
    <w:p>
      <w:pPr>
        <w:spacing w:line="360" w:lineRule="auto"/>
        <w:ind w:firstLine="472" w:firstLineChars="225"/>
        <w:rPr>
          <w:rFonts w:hint="eastAsia" w:ascii="仿宋" w:hAnsi="仿宋" w:eastAsia="仿宋" w:cs="仿宋"/>
          <w:color w:val="auto"/>
          <w:szCs w:val="21"/>
          <w:highlight w:val="none"/>
        </w:rPr>
      </w:pPr>
      <w:r>
        <w:rPr>
          <w:rFonts w:hint="eastAsia" w:ascii="仿宋" w:hAnsi="仿宋" w:eastAsia="仿宋" w:cs="仿宋"/>
          <w:color w:val="auto"/>
          <w:szCs w:val="21"/>
          <w:highlight w:val="none"/>
        </w:rPr>
        <w:t>代理人无转委托权，特此委托。</w:t>
      </w:r>
    </w:p>
    <w:p>
      <w:pPr>
        <w:spacing w:line="360" w:lineRule="auto"/>
        <w:rPr>
          <w:rFonts w:hint="eastAsia" w:ascii="仿宋" w:hAnsi="仿宋" w:eastAsia="仿宋" w:cs="仿宋"/>
          <w:color w:val="auto"/>
          <w:szCs w:val="21"/>
          <w:highlight w:val="none"/>
        </w:rPr>
      </w:pPr>
    </w:p>
    <w:p>
      <w:pPr>
        <w:spacing w:line="360" w:lineRule="auto"/>
        <w:ind w:firstLine="358" w:firstLineChars="170"/>
        <w:rPr>
          <w:rFonts w:hint="eastAsia" w:ascii="仿宋" w:hAnsi="仿宋" w:eastAsia="仿宋" w:cs="仿宋"/>
          <w:b/>
          <w:color w:val="auto"/>
          <w:szCs w:val="21"/>
          <w:highlight w:val="none"/>
        </w:rPr>
      </w:pPr>
      <w:r>
        <w:rPr>
          <w:rFonts w:hint="eastAsia" w:ascii="仿宋" w:hAnsi="仿宋" w:eastAsia="仿宋" w:cs="仿宋"/>
          <w:b/>
          <w:color w:val="auto"/>
          <w:szCs w:val="21"/>
          <w:highlight w:val="none"/>
        </w:rPr>
        <w:t>注：附法定代表人授权委托人身份证双面扫描件。</w:t>
      </w:r>
    </w:p>
    <w:p>
      <w:pPr>
        <w:spacing w:line="360" w:lineRule="auto"/>
        <w:rPr>
          <w:rFonts w:hint="eastAsia" w:ascii="仿宋" w:hAnsi="仿宋" w:eastAsia="仿宋" w:cs="仿宋"/>
          <w:color w:val="auto"/>
          <w:szCs w:val="21"/>
          <w:highlight w:val="none"/>
        </w:rPr>
      </w:pPr>
    </w:p>
    <w:p>
      <w:pPr>
        <w:spacing w:line="360" w:lineRule="auto"/>
        <w:rPr>
          <w:rFonts w:hint="eastAsia" w:ascii="仿宋" w:hAnsi="仿宋" w:eastAsia="仿宋" w:cs="仿宋"/>
          <w:color w:val="auto"/>
          <w:szCs w:val="21"/>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投标人（加盖鲜章）：</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法定代表人（签字或盖章）：</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身份证号码：</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委托代理人：</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sz w:val="24"/>
          <w:highlight w:val="none"/>
          <w:u w:val="single"/>
        </w:rPr>
      </w:pPr>
      <w:r>
        <w:rPr>
          <w:rFonts w:hint="eastAsia" w:ascii="仿宋" w:hAnsi="仿宋" w:eastAsia="仿宋" w:cs="仿宋"/>
          <w:color w:val="auto"/>
          <w:sz w:val="24"/>
          <w:highlight w:val="none"/>
        </w:rPr>
        <w:t>身份证号码：</w:t>
      </w:r>
      <w:r>
        <w:rPr>
          <w:rFonts w:hint="eastAsia" w:ascii="仿宋" w:hAnsi="仿宋" w:eastAsia="仿宋" w:cs="仿宋"/>
          <w:color w:val="auto"/>
          <w:sz w:val="24"/>
          <w:highlight w:val="none"/>
          <w:u w:val="single"/>
        </w:rPr>
        <w:t xml:space="preserve">                                     </w:t>
      </w:r>
    </w:p>
    <w:p>
      <w:pPr>
        <w:pStyle w:val="9"/>
        <w:spacing w:before="156"/>
        <w:ind w:firstLine="420"/>
        <w:rPr>
          <w:rFonts w:hint="eastAsia" w:ascii="仿宋" w:hAnsi="仿宋" w:eastAsia="仿宋" w:cs="仿宋"/>
          <w:color w:val="auto"/>
          <w:highlight w:val="none"/>
        </w:rPr>
      </w:pPr>
    </w:p>
    <w:p>
      <w:pPr>
        <w:spacing w:line="360" w:lineRule="auto"/>
        <w:ind w:firstLine="2100" w:firstLineChars="1000"/>
        <w:rPr>
          <w:rFonts w:hint="eastAsia" w:ascii="仿宋" w:hAnsi="仿宋" w:eastAsia="仿宋" w:cs="仿宋"/>
          <w:color w:val="auto"/>
          <w:szCs w:val="21"/>
          <w:highlight w:val="none"/>
        </w:rPr>
      </w:pPr>
    </w:p>
    <w:p>
      <w:pPr>
        <w:spacing w:line="360" w:lineRule="auto"/>
        <w:jc w:val="right"/>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keepNext w:val="0"/>
        <w:keepLines w:val="0"/>
        <w:pageBreakBefore w:val="0"/>
        <w:widowControl w:val="0"/>
        <w:numPr>
          <w:ilvl w:val="0"/>
          <w:numId w:val="21"/>
        </w:numPr>
        <w:kinsoku/>
        <w:wordWrap/>
        <w:overflowPunct/>
        <w:topLinePunct w:val="0"/>
        <w:autoSpaceDE/>
        <w:autoSpaceDN/>
        <w:bidi w:val="0"/>
        <w:adjustRightInd/>
        <w:snapToGrid/>
        <w:spacing w:line="360" w:lineRule="auto"/>
        <w:jc w:val="center"/>
        <w:textAlignment w:val="auto"/>
        <w:outlineLvl w:val="2"/>
        <w:rPr>
          <w:rFonts w:hint="eastAsia" w:ascii="仿宋" w:hAnsi="仿宋" w:eastAsia="仿宋" w:cs="仿宋"/>
          <w:b w:val="0"/>
          <w:color w:val="auto"/>
          <w:sz w:val="29"/>
          <w:szCs w:val="21"/>
          <w:highlight w:val="none"/>
          <w:lang w:val="en-US" w:eastAsia="zh-CN"/>
        </w:rPr>
      </w:pPr>
      <w:r>
        <w:rPr>
          <w:rFonts w:hint="eastAsia" w:ascii="仿宋" w:hAnsi="仿宋" w:eastAsia="仿宋" w:cs="仿宋"/>
          <w:b w:val="0"/>
          <w:color w:val="auto"/>
          <w:sz w:val="29"/>
          <w:szCs w:val="21"/>
          <w:highlight w:val="none"/>
        </w:rPr>
        <w:br w:type="page"/>
      </w:r>
      <w:bookmarkStart w:id="348" w:name="_Toc14619"/>
      <w:bookmarkStart w:id="349" w:name="_Toc8877"/>
      <w:r>
        <w:rPr>
          <w:rFonts w:hint="eastAsia" w:ascii="仿宋" w:hAnsi="仿宋" w:eastAsia="仿宋" w:cs="仿宋"/>
          <w:b w:val="0"/>
          <w:color w:val="auto"/>
          <w:sz w:val="29"/>
          <w:szCs w:val="21"/>
          <w:highlight w:val="none"/>
          <w:lang w:val="en-US" w:eastAsia="zh-CN"/>
        </w:rPr>
        <w:t>投标人资格要求</w:t>
      </w:r>
      <w:bookmarkEnd w:id="348"/>
    </w:p>
    <w:bookmarkEnd w:id="349"/>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1.满足《中华人民共和国政府采购法》第二十二条规定：</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1）具有独立承担民事责任的能力：投标人须在中华人民共和国境内注册，提供市场监督管理部门核发的有效的三证合一营业执照，若为分支机构参与投标人，须取得总公司的有效授权，且总公司仅允许授权一家分支机构参与投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（2）具有良好的商业信誉和健全的财务会计制度：提供投标人2023年度经第三方审计的财务报告及报表（报表至少应包括资产负债表、利润表（损益表）、现金流量表），或提供自提交</w:t>
      </w:r>
      <w:r>
        <w:rPr>
          <w:rFonts w:hint="eastAsia" w:ascii="仿宋" w:hAnsi="仿宋" w:eastAsia="仿宋" w:cs="仿宋"/>
          <w:color w:val="auto"/>
          <w:spacing w:val="0"/>
          <w:sz w:val="24"/>
          <w:szCs w:val="24"/>
          <w:highlight w:val="none"/>
          <w:lang w:eastAsia="zh-CN"/>
        </w:rPr>
        <w:t>响应文件</w:t>
      </w:r>
      <w:r>
        <w:rPr>
          <w:rFonts w:hint="eastAsia" w:ascii="仿宋" w:hAnsi="仿宋" w:eastAsia="仿宋" w:cs="仿宋"/>
          <w:color w:val="auto"/>
          <w:spacing w:val="0"/>
          <w:sz w:val="24"/>
          <w:szCs w:val="24"/>
          <w:highlight w:val="none"/>
        </w:rPr>
        <w:t>截止时间前三个月内基本开户银行出具的资信证明。</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（3）具有履行合同所必需的设备和专业技术能力：（提供书面声明）；</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（4）有依法缴纳税收和社会保障资金的良好记录：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①提供投标人缴税所属时间在2023年01月至本项目提交</w:t>
      </w:r>
      <w:r>
        <w:rPr>
          <w:rFonts w:hint="eastAsia" w:ascii="仿宋" w:hAnsi="仿宋" w:eastAsia="仿宋" w:cs="仿宋"/>
          <w:color w:val="auto"/>
          <w:spacing w:val="0"/>
          <w:sz w:val="24"/>
          <w:szCs w:val="24"/>
          <w:highlight w:val="none"/>
          <w:lang w:eastAsia="zh-CN"/>
        </w:rPr>
        <w:t>响应文件</w:t>
      </w:r>
      <w:r>
        <w:rPr>
          <w:rFonts w:hint="eastAsia" w:ascii="仿宋" w:hAnsi="仿宋" w:eastAsia="仿宋" w:cs="仿宋"/>
          <w:color w:val="auto"/>
          <w:spacing w:val="0"/>
          <w:sz w:val="24"/>
          <w:szCs w:val="24"/>
          <w:highlight w:val="none"/>
        </w:rPr>
        <w:t>截止时间前任意1个月的税务局税收通用缴款书或银行电子缴税（费）凭证或税务局出具纳税情况的相关证明，依法免税的，应提供依法免税的相关证明文件；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②提供投标人缴费所属时间在2023年01月至本项目提交</w:t>
      </w:r>
      <w:r>
        <w:rPr>
          <w:rFonts w:hint="eastAsia" w:ascii="仿宋" w:hAnsi="仿宋" w:eastAsia="仿宋" w:cs="仿宋"/>
          <w:color w:val="auto"/>
          <w:spacing w:val="0"/>
          <w:sz w:val="24"/>
          <w:szCs w:val="24"/>
          <w:highlight w:val="none"/>
          <w:lang w:eastAsia="zh-CN"/>
        </w:rPr>
        <w:t>响应文件</w:t>
      </w:r>
      <w:r>
        <w:rPr>
          <w:rFonts w:hint="eastAsia" w:ascii="仿宋" w:hAnsi="仿宋" w:eastAsia="仿宋" w:cs="仿宋"/>
          <w:color w:val="auto"/>
          <w:spacing w:val="0"/>
          <w:sz w:val="24"/>
          <w:szCs w:val="24"/>
          <w:highlight w:val="none"/>
        </w:rPr>
        <w:t>截止时间前任意2个月的社会保险费缴款书或银行电子缴税（费）凭证或社保管理部门出具的有效的缴款证明，依法免缴的，应提供依法免缴的相关证明文件；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5）参加政府采购活动前三年内，在经营活动中没有重大违法记录：提供投标人参加政府采购活动前三年内，在经营活动中没有重大违法记录（重大违法记录，是指投标人因违法经营受到刑事处罚或者责令停产停业、吊销许可证或者执照、较大数额罚款等行政处罚）的书面声明；</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（6）法律、行政法规规定的其他条件：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①投标人在“信用中国”网站（www.creditchina.gov.cn）中未被列入严重失信主体名单、税收违法黑名单、政府采购严重违法失信行为记录名单（被禁止在一定期限内参加采购活动但期限届满的除外）（查询时间为本公告发布之日起至提交</w:t>
      </w:r>
      <w:r>
        <w:rPr>
          <w:rFonts w:hint="eastAsia" w:ascii="仿宋" w:hAnsi="仿宋" w:eastAsia="仿宋" w:cs="仿宋"/>
          <w:color w:val="auto"/>
          <w:spacing w:val="0"/>
          <w:sz w:val="24"/>
          <w:szCs w:val="24"/>
          <w:highlight w:val="none"/>
          <w:lang w:eastAsia="zh-CN"/>
        </w:rPr>
        <w:t>响应文件</w:t>
      </w:r>
      <w:r>
        <w:rPr>
          <w:rFonts w:hint="eastAsia" w:ascii="仿宋" w:hAnsi="仿宋" w:eastAsia="仿宋" w:cs="仿宋"/>
          <w:color w:val="auto"/>
          <w:spacing w:val="0"/>
          <w:sz w:val="24"/>
          <w:szCs w:val="24"/>
          <w:highlight w:val="none"/>
        </w:rPr>
        <w:t>截止时间止，查询结果以采购人查询结果为准，投标人无需再提供）；</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②投标人在中国政府采购网（www.ccgp.gov.cn）政府采购严重违法失信行为记录名单中未被禁止参加政府采购活动（查询时间为本公告发布之日起至提交</w:t>
      </w:r>
      <w:r>
        <w:rPr>
          <w:rFonts w:hint="eastAsia" w:ascii="仿宋" w:hAnsi="仿宋" w:eastAsia="仿宋" w:cs="仿宋"/>
          <w:color w:val="auto"/>
          <w:spacing w:val="0"/>
          <w:sz w:val="24"/>
          <w:szCs w:val="24"/>
          <w:highlight w:val="none"/>
          <w:lang w:eastAsia="zh-CN"/>
        </w:rPr>
        <w:t>响应文件</w:t>
      </w:r>
      <w:r>
        <w:rPr>
          <w:rFonts w:hint="eastAsia" w:ascii="仿宋" w:hAnsi="仿宋" w:eastAsia="仿宋" w:cs="仿宋"/>
          <w:color w:val="auto"/>
          <w:spacing w:val="0"/>
          <w:sz w:val="24"/>
          <w:szCs w:val="24"/>
          <w:highlight w:val="none"/>
        </w:rPr>
        <w:t>截止时间止，查询结果以采购人查询结果为准，投标人无需再提供）；</w:t>
      </w:r>
    </w:p>
    <w:p>
      <w:pPr>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br w:type="page"/>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lang w:val="en-US" w:eastAsia="zh-CN"/>
        </w:rPr>
        <w:t>2</w:t>
      </w:r>
      <w:r>
        <w:rPr>
          <w:rFonts w:hint="eastAsia" w:ascii="仿宋" w:hAnsi="仿宋" w:eastAsia="仿宋" w:cs="仿宋"/>
          <w:color w:val="auto"/>
          <w:spacing w:val="0"/>
          <w:sz w:val="24"/>
          <w:szCs w:val="24"/>
          <w:highlight w:val="none"/>
        </w:rPr>
        <w:t>.本项目的特定资格要求：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pacing w:val="0"/>
          <w:sz w:val="24"/>
          <w:szCs w:val="24"/>
          <w:highlight w:val="none"/>
        </w:rPr>
      </w:pPr>
      <w:r>
        <w:rPr>
          <w:rFonts w:hint="eastAsia" w:ascii="仿宋" w:hAnsi="仿宋" w:eastAsia="仿宋" w:cs="仿宋"/>
          <w:color w:val="auto"/>
          <w:spacing w:val="0"/>
          <w:sz w:val="24"/>
          <w:szCs w:val="24"/>
          <w:highlight w:val="none"/>
        </w:rPr>
        <w:t>投标人必须是经中国银行保险监督管理委员会（原“中国保险监督管理委员会”）批准，具备有效的《经营保险经纪业务许可证》或《保险中介许可证》。</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b/>
          <w:bCs/>
          <w:color w:val="auto"/>
          <w:spacing w:val="0"/>
          <w:sz w:val="24"/>
          <w:szCs w:val="24"/>
          <w:highlight w:val="none"/>
          <w:lang w:val="en-US" w:eastAsia="zh-CN"/>
        </w:rPr>
      </w:pPr>
      <w:r>
        <w:rPr>
          <w:rFonts w:hint="eastAsia" w:ascii="仿宋" w:hAnsi="仿宋" w:eastAsia="仿宋" w:cs="仿宋"/>
          <w:b/>
          <w:bCs/>
          <w:color w:val="auto"/>
          <w:spacing w:val="0"/>
          <w:sz w:val="24"/>
          <w:szCs w:val="24"/>
          <w:highlight w:val="none"/>
          <w:lang w:val="en-US" w:eastAsia="zh-CN"/>
        </w:rPr>
        <w:br w:type="page"/>
      </w:r>
    </w:p>
    <w:p>
      <w:pPr>
        <w:jc w:val="center"/>
        <w:rPr>
          <w:rFonts w:hint="eastAsia" w:ascii="仿宋" w:hAnsi="仿宋" w:eastAsia="仿宋" w:cs="仿宋"/>
          <w:b/>
          <w:bCs/>
          <w:color w:val="auto"/>
          <w:kern w:val="2"/>
          <w:sz w:val="32"/>
          <w:szCs w:val="28"/>
          <w:highlight w:val="none"/>
          <w:lang w:val="en-US" w:eastAsia="zh-CN" w:bidi="ar-SA"/>
        </w:rPr>
      </w:pPr>
      <w:bookmarkStart w:id="350" w:name="_Toc27126"/>
      <w:bookmarkStart w:id="351" w:name="_Toc24082"/>
      <w:r>
        <w:rPr>
          <w:rFonts w:hint="eastAsia" w:ascii="仿宋" w:hAnsi="仿宋" w:eastAsia="仿宋" w:cs="仿宋"/>
          <w:b/>
          <w:bCs/>
          <w:color w:val="auto"/>
          <w:kern w:val="2"/>
          <w:sz w:val="32"/>
          <w:szCs w:val="28"/>
          <w:highlight w:val="none"/>
          <w:lang w:val="en-US" w:eastAsia="zh-CN" w:bidi="ar-SA"/>
        </w:rPr>
        <w:br w:type="page"/>
      </w:r>
    </w:p>
    <w:p>
      <w:pPr>
        <w:pStyle w:val="3"/>
        <w:numPr>
          <w:ilvl w:val="1"/>
          <w:numId w:val="0"/>
        </w:numPr>
        <w:spacing w:line="416" w:lineRule="auto"/>
        <w:jc w:val="center"/>
        <w:rPr>
          <w:rFonts w:hint="eastAsia" w:ascii="仿宋" w:hAnsi="仿宋" w:eastAsia="仿宋" w:cs="仿宋"/>
          <w:b/>
          <w:bCs/>
          <w:color w:val="auto"/>
          <w:kern w:val="2"/>
          <w:sz w:val="32"/>
          <w:szCs w:val="28"/>
          <w:highlight w:val="none"/>
          <w:lang w:val="en-US" w:eastAsia="zh-CN" w:bidi="ar-SA"/>
        </w:rPr>
      </w:pPr>
      <w:bookmarkStart w:id="352" w:name="_Toc14181"/>
      <w:r>
        <w:rPr>
          <w:rFonts w:hint="eastAsia" w:ascii="仿宋" w:hAnsi="仿宋" w:eastAsia="仿宋" w:cs="仿宋"/>
          <w:b/>
          <w:bCs/>
          <w:color w:val="auto"/>
          <w:kern w:val="2"/>
          <w:sz w:val="32"/>
          <w:szCs w:val="28"/>
          <w:highlight w:val="none"/>
          <w:lang w:val="en-US" w:eastAsia="zh-CN" w:bidi="ar-SA"/>
        </w:rPr>
        <w:t>第二部分 响应文件技术、服务部分格式</w:t>
      </w:r>
      <w:bookmarkEnd w:id="350"/>
      <w:bookmarkEnd w:id="351"/>
      <w:bookmarkEnd w:id="352"/>
    </w:p>
    <w:p>
      <w:pPr>
        <w:spacing w:line="360" w:lineRule="auto"/>
        <w:jc w:val="left"/>
        <w:outlineLvl w:val="2"/>
        <w:rPr>
          <w:rFonts w:hint="eastAsia" w:ascii="仿宋" w:hAnsi="仿宋" w:eastAsia="仿宋" w:cs="仿宋"/>
          <w:b/>
          <w:bCs/>
          <w:color w:val="auto"/>
          <w:sz w:val="28"/>
          <w:szCs w:val="28"/>
          <w:highlight w:val="none"/>
        </w:rPr>
      </w:pPr>
      <w:bookmarkStart w:id="353" w:name="_Toc9669"/>
      <w:r>
        <w:rPr>
          <w:rFonts w:hint="eastAsia" w:ascii="仿宋" w:hAnsi="仿宋" w:eastAsia="仿宋" w:cs="仿宋"/>
          <w:b/>
          <w:bCs/>
          <w:color w:val="auto"/>
          <w:sz w:val="28"/>
          <w:szCs w:val="28"/>
          <w:highlight w:val="none"/>
          <w:lang w:val="en-US" w:eastAsia="zh-CN"/>
        </w:rPr>
        <w:t>一、承保服务方案</w:t>
      </w:r>
      <w:bookmarkEnd w:id="353"/>
    </w:p>
    <w:p>
      <w:pPr>
        <w:spacing w:line="360" w:lineRule="auto"/>
        <w:jc w:val="left"/>
        <w:outlineLvl w:val="9"/>
        <w:rPr>
          <w:rFonts w:hint="eastAsia" w:ascii="仿宋" w:hAnsi="仿宋" w:eastAsia="仿宋" w:cs="仿宋"/>
          <w:color w:val="auto"/>
          <w:szCs w:val="21"/>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left"/>
        <w:outlineLvl w:val="2"/>
        <w:rPr>
          <w:rFonts w:hint="eastAsia" w:ascii="仿宋" w:hAnsi="仿宋" w:eastAsia="仿宋" w:cs="仿宋"/>
          <w:b/>
          <w:bCs/>
          <w:color w:val="auto"/>
          <w:sz w:val="28"/>
          <w:szCs w:val="28"/>
          <w:highlight w:val="none"/>
          <w:lang w:val="en-US" w:eastAsia="zh-CN"/>
        </w:rPr>
      </w:pPr>
      <w:bookmarkStart w:id="354" w:name="_Toc29917"/>
      <w:r>
        <w:rPr>
          <w:rFonts w:hint="eastAsia" w:ascii="仿宋" w:hAnsi="仿宋" w:eastAsia="仿宋" w:cs="仿宋"/>
          <w:b/>
          <w:bCs/>
          <w:color w:val="auto"/>
          <w:sz w:val="28"/>
          <w:szCs w:val="28"/>
          <w:highlight w:val="none"/>
          <w:lang w:val="en-US" w:eastAsia="zh-CN"/>
        </w:rPr>
        <w:t>二、理赔服务方案</w:t>
      </w:r>
      <w:bookmarkEnd w:id="354"/>
    </w:p>
    <w:p>
      <w:pPr>
        <w:spacing w:line="360" w:lineRule="auto"/>
        <w:jc w:val="left"/>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left"/>
        <w:outlineLvl w:val="2"/>
        <w:rPr>
          <w:rFonts w:hint="eastAsia" w:ascii="仿宋" w:hAnsi="仿宋" w:eastAsia="仿宋" w:cs="仿宋"/>
          <w:b w:val="0"/>
          <w:bCs w:val="0"/>
          <w:color w:val="auto"/>
          <w:sz w:val="28"/>
          <w:szCs w:val="28"/>
          <w:highlight w:val="none"/>
          <w:lang w:val="en-US" w:eastAsia="zh-CN"/>
        </w:rPr>
      </w:pPr>
      <w:bookmarkStart w:id="355" w:name="_Toc30489"/>
      <w:r>
        <w:rPr>
          <w:rFonts w:hint="eastAsia" w:ascii="仿宋" w:hAnsi="仿宋" w:eastAsia="仿宋" w:cs="仿宋"/>
          <w:b/>
          <w:bCs/>
          <w:color w:val="auto"/>
          <w:sz w:val="28"/>
          <w:szCs w:val="28"/>
          <w:highlight w:val="none"/>
          <w:lang w:val="en-US" w:eastAsia="zh-CN"/>
        </w:rPr>
        <w:t>三、风险管理服务方案</w:t>
      </w:r>
      <w:bookmarkEnd w:id="355"/>
    </w:p>
    <w:p>
      <w:pPr>
        <w:spacing w:line="360" w:lineRule="auto"/>
        <w:jc w:val="left"/>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left"/>
        <w:outlineLvl w:val="2"/>
        <w:rPr>
          <w:rFonts w:hint="eastAsia" w:ascii="仿宋" w:hAnsi="仿宋" w:eastAsia="仿宋" w:cs="仿宋"/>
          <w:b/>
          <w:bCs/>
          <w:color w:val="auto"/>
          <w:sz w:val="28"/>
          <w:szCs w:val="28"/>
          <w:highlight w:val="none"/>
          <w:lang w:val="en-US" w:eastAsia="zh-CN"/>
        </w:rPr>
      </w:pPr>
      <w:bookmarkStart w:id="356" w:name="_Toc10060"/>
      <w:r>
        <w:rPr>
          <w:rFonts w:hint="eastAsia" w:ascii="仿宋" w:hAnsi="仿宋" w:eastAsia="仿宋" w:cs="仿宋"/>
          <w:b/>
          <w:bCs/>
          <w:color w:val="auto"/>
          <w:sz w:val="28"/>
          <w:szCs w:val="28"/>
          <w:highlight w:val="none"/>
          <w:lang w:val="en-US" w:eastAsia="zh-CN"/>
        </w:rPr>
        <w:t>四、应急预案</w:t>
      </w:r>
      <w:bookmarkEnd w:id="356"/>
    </w:p>
    <w:p>
      <w:pPr>
        <w:spacing w:line="360" w:lineRule="auto"/>
        <w:jc w:val="left"/>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left"/>
        <w:outlineLvl w:val="2"/>
        <w:rPr>
          <w:rFonts w:hint="eastAsia" w:ascii="仿宋" w:hAnsi="仿宋" w:eastAsia="仿宋" w:cs="仿宋"/>
          <w:b/>
          <w:bCs/>
          <w:color w:val="auto"/>
          <w:sz w:val="28"/>
          <w:szCs w:val="28"/>
          <w:highlight w:val="none"/>
          <w:lang w:val="en-US" w:eastAsia="zh-CN"/>
        </w:rPr>
      </w:pPr>
      <w:bookmarkStart w:id="357" w:name="_Toc8619"/>
      <w:r>
        <w:rPr>
          <w:rFonts w:hint="eastAsia" w:ascii="仿宋" w:hAnsi="仿宋" w:eastAsia="仿宋" w:cs="仿宋"/>
          <w:b/>
          <w:bCs/>
          <w:color w:val="auto"/>
          <w:sz w:val="28"/>
          <w:szCs w:val="28"/>
          <w:highlight w:val="none"/>
          <w:lang w:val="en-US" w:eastAsia="zh-CN"/>
        </w:rPr>
        <w:t>五、本项目服务团队配置</w:t>
      </w:r>
      <w:bookmarkEnd w:id="357"/>
    </w:p>
    <w:p>
      <w:pPr>
        <w:spacing w:line="360" w:lineRule="auto"/>
        <w:jc w:val="left"/>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left"/>
        <w:outlineLvl w:val="2"/>
        <w:rPr>
          <w:rFonts w:hint="default" w:ascii="仿宋" w:hAnsi="仿宋" w:eastAsia="仿宋" w:cs="仿宋"/>
          <w:b/>
          <w:bCs/>
          <w:color w:val="auto"/>
          <w:sz w:val="28"/>
          <w:szCs w:val="28"/>
          <w:highlight w:val="none"/>
          <w:lang w:val="en-US" w:eastAsia="zh-CN"/>
        </w:rPr>
      </w:pPr>
      <w:bookmarkStart w:id="358" w:name="_Toc17049"/>
      <w:r>
        <w:rPr>
          <w:rFonts w:hint="eastAsia" w:ascii="仿宋" w:hAnsi="仿宋" w:eastAsia="仿宋" w:cs="仿宋"/>
          <w:b/>
          <w:bCs/>
          <w:color w:val="auto"/>
          <w:sz w:val="28"/>
          <w:szCs w:val="28"/>
          <w:highlight w:val="none"/>
          <w:lang w:val="en-US" w:eastAsia="zh-CN"/>
        </w:rPr>
        <w:t>六、售后服务方案</w:t>
      </w:r>
      <w:bookmarkEnd w:id="358"/>
    </w:p>
    <w:p>
      <w:pPr>
        <w:spacing w:line="360" w:lineRule="auto"/>
        <w:jc w:val="left"/>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numPr>
          <w:ilvl w:val="0"/>
          <w:numId w:val="22"/>
        </w:numPr>
        <w:spacing w:line="360" w:lineRule="auto"/>
        <w:jc w:val="left"/>
        <w:outlineLvl w:val="2"/>
        <w:rPr>
          <w:rFonts w:hint="eastAsia" w:ascii="仿宋" w:hAnsi="仿宋" w:eastAsia="仿宋" w:cs="仿宋"/>
          <w:b/>
          <w:bCs/>
          <w:color w:val="auto"/>
          <w:sz w:val="28"/>
          <w:szCs w:val="28"/>
          <w:highlight w:val="none"/>
          <w:lang w:val="en-US" w:eastAsia="zh-CN"/>
        </w:rPr>
      </w:pPr>
      <w:bookmarkStart w:id="359" w:name="_Toc23778"/>
      <w:r>
        <w:rPr>
          <w:rFonts w:hint="eastAsia" w:ascii="仿宋" w:hAnsi="仿宋" w:eastAsia="仿宋" w:cs="仿宋"/>
          <w:b/>
          <w:bCs/>
          <w:color w:val="auto"/>
          <w:sz w:val="28"/>
          <w:szCs w:val="28"/>
          <w:highlight w:val="none"/>
          <w:lang w:val="en-US" w:eastAsia="zh-CN"/>
        </w:rPr>
        <w:t>投标人具备互联网安全管理服务平台</w:t>
      </w:r>
      <w:bookmarkEnd w:id="359"/>
    </w:p>
    <w:p>
      <w:pPr>
        <w:spacing w:line="360" w:lineRule="auto"/>
        <w:jc w:val="left"/>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numPr>
          <w:ilvl w:val="0"/>
          <w:numId w:val="22"/>
        </w:numPr>
        <w:spacing w:line="360" w:lineRule="auto"/>
        <w:jc w:val="left"/>
        <w:outlineLvl w:val="2"/>
        <w:rPr>
          <w:rFonts w:hint="default" w:ascii="仿宋" w:hAnsi="仿宋" w:eastAsia="仿宋" w:cs="仿宋"/>
          <w:b/>
          <w:bCs/>
          <w:color w:val="auto"/>
          <w:sz w:val="28"/>
          <w:szCs w:val="28"/>
          <w:highlight w:val="none"/>
          <w:lang w:val="en-US" w:eastAsia="zh-CN"/>
        </w:rPr>
      </w:pPr>
      <w:bookmarkStart w:id="360" w:name="_Toc20285"/>
      <w:r>
        <w:rPr>
          <w:rFonts w:hint="default" w:ascii="仿宋" w:hAnsi="仿宋" w:eastAsia="仿宋" w:cs="仿宋"/>
          <w:b/>
          <w:bCs/>
          <w:color w:val="auto"/>
          <w:sz w:val="28"/>
          <w:szCs w:val="28"/>
          <w:highlight w:val="none"/>
          <w:lang w:val="en-US" w:eastAsia="zh-CN"/>
        </w:rPr>
        <w:t>类似业绩</w:t>
      </w:r>
      <w:bookmarkEnd w:id="360"/>
    </w:p>
    <w:p>
      <w:pPr>
        <w:numPr>
          <w:ilvl w:val="0"/>
          <w:numId w:val="0"/>
        </w:numPr>
        <w:spacing w:line="360" w:lineRule="auto"/>
        <w:jc w:val="left"/>
        <w:outlineLvl w:val="9"/>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（格式自拟）</w:t>
      </w:r>
    </w:p>
    <w:p>
      <w:pPr>
        <w:numPr>
          <w:ilvl w:val="0"/>
          <w:numId w:val="0"/>
        </w:numPr>
        <w:spacing w:line="360" w:lineRule="auto"/>
        <w:jc w:val="left"/>
        <w:outlineLvl w:val="2"/>
        <w:rPr>
          <w:rFonts w:hint="eastAsia" w:ascii="仿宋" w:hAnsi="仿宋" w:eastAsia="仿宋" w:cs="仿宋"/>
          <w:b/>
          <w:bCs/>
          <w:color w:val="auto"/>
          <w:sz w:val="28"/>
          <w:szCs w:val="28"/>
          <w:highlight w:val="none"/>
          <w:lang w:val="en-US" w:eastAsia="zh-CN"/>
        </w:rPr>
      </w:pPr>
      <w:bookmarkStart w:id="361" w:name="_Toc19259"/>
      <w:r>
        <w:rPr>
          <w:rFonts w:hint="eastAsia" w:ascii="仿宋" w:hAnsi="仿宋" w:eastAsia="仿宋" w:cs="仿宋"/>
          <w:b/>
          <w:bCs/>
          <w:color w:val="auto"/>
          <w:sz w:val="28"/>
          <w:szCs w:val="28"/>
          <w:highlight w:val="none"/>
          <w:lang w:val="en-US" w:eastAsia="zh-CN"/>
        </w:rPr>
        <w:t>九、投标人认为须提供的其他技术文件，格式自拟。</w:t>
      </w:r>
      <w:bookmarkEnd w:id="361"/>
    </w:p>
    <w:p>
      <w:pPr>
        <w:numPr>
          <w:ilvl w:val="0"/>
          <w:numId w:val="0"/>
        </w:numPr>
        <w:spacing w:line="360" w:lineRule="auto"/>
        <w:jc w:val="both"/>
        <w:outlineLvl w:val="9"/>
        <w:rPr>
          <w:rFonts w:hint="eastAsia" w:ascii="仿宋" w:hAnsi="仿宋" w:eastAsia="仿宋" w:cs="仿宋"/>
          <w:b/>
          <w:bCs/>
          <w:color w:val="auto"/>
          <w:sz w:val="28"/>
          <w:szCs w:val="28"/>
          <w:highlight w:val="none"/>
          <w:lang w:val="en-US" w:eastAsia="zh-CN"/>
        </w:rPr>
      </w:pPr>
    </w:p>
    <w:p>
      <w:pPr>
        <w:pStyle w:val="128"/>
        <w:jc w:val="left"/>
        <w:rPr>
          <w:rFonts w:hint="eastAsia" w:ascii="仿宋" w:hAnsi="仿宋" w:eastAsia="仿宋" w:cs="仿宋"/>
          <w:color w:val="auto"/>
          <w:kern w:val="2"/>
          <w:sz w:val="21"/>
          <w:szCs w:val="22"/>
          <w:highlight w:val="none"/>
        </w:rPr>
      </w:pPr>
      <w:r>
        <w:rPr>
          <w:rFonts w:hint="eastAsia" w:ascii="仿宋" w:hAnsi="仿宋" w:eastAsia="仿宋" w:cs="仿宋"/>
          <w:color w:val="auto"/>
          <w:kern w:val="2"/>
          <w:sz w:val="21"/>
          <w:szCs w:val="22"/>
          <w:highlight w:val="none"/>
        </w:rPr>
        <w:t xml:space="preserve"> </w:t>
      </w:r>
    </w:p>
    <w:p>
      <w:pPr>
        <w:spacing w:line="360" w:lineRule="auto"/>
        <w:ind w:firstLine="417" w:firstLineChars="199"/>
        <w:rPr>
          <w:rFonts w:hint="eastAsia" w:ascii="仿宋" w:hAnsi="仿宋" w:eastAsia="仿宋" w:cs="仿宋"/>
          <w:color w:val="auto"/>
          <w:szCs w:val="21"/>
          <w:highlight w:val="none"/>
        </w:rPr>
      </w:pPr>
    </w:p>
    <w:p>
      <w:pPr>
        <w:spacing w:line="360" w:lineRule="auto"/>
        <w:ind w:firstLine="420" w:firstLineChars="200"/>
        <w:rPr>
          <w:rFonts w:hint="eastAsia" w:ascii="仿宋" w:hAnsi="仿宋" w:eastAsia="仿宋" w:cs="仿宋"/>
          <w:b/>
          <w:color w:val="auto"/>
          <w:sz w:val="22"/>
          <w:szCs w:val="22"/>
          <w:highlight w:val="none"/>
        </w:rPr>
      </w:pPr>
      <w:r>
        <w:rPr>
          <w:rFonts w:hint="eastAsia" w:ascii="仿宋" w:hAnsi="仿宋" w:eastAsia="仿宋" w:cs="仿宋"/>
          <w:color w:val="auto"/>
          <w:szCs w:val="21"/>
          <w:highlight w:val="none"/>
        </w:rPr>
        <w:br w:type="page"/>
      </w:r>
    </w:p>
    <w:p>
      <w:pPr>
        <w:pStyle w:val="2"/>
        <w:numPr>
          <w:ilvl w:val="0"/>
          <w:numId w:val="0"/>
        </w:numPr>
        <w:ind w:left="-284" w:leftChars="0" w:hanging="284" w:firstLineChars="0"/>
        <w:jc w:val="center"/>
        <w:rPr>
          <w:rFonts w:hint="eastAsia" w:ascii="仿宋" w:hAnsi="仿宋" w:eastAsia="仿宋" w:cs="仿宋"/>
          <w:color w:val="auto"/>
          <w:sz w:val="52"/>
          <w:szCs w:val="32"/>
          <w:highlight w:val="none"/>
        </w:rPr>
      </w:pPr>
      <w:bookmarkStart w:id="362" w:name="_Toc1640"/>
      <w:bookmarkStart w:id="363" w:name="_Toc32162"/>
      <w:bookmarkStart w:id="364" w:name="_Toc1800"/>
      <w:bookmarkStart w:id="365" w:name="_Toc8384"/>
      <w:bookmarkStart w:id="366" w:name="_Toc23045"/>
      <w:r>
        <w:rPr>
          <w:rFonts w:hint="eastAsia" w:ascii="仿宋" w:hAnsi="仿宋" w:eastAsia="仿宋" w:cs="仿宋"/>
          <w:b/>
          <w:bCs/>
          <w:color w:val="auto"/>
          <w:kern w:val="0"/>
          <w:sz w:val="52"/>
          <w:szCs w:val="32"/>
          <w:highlight w:val="none"/>
          <w:lang w:val="en-US" w:eastAsia="zh-CN" w:bidi="ar-SA"/>
        </w:rPr>
        <w:t>第四章</w:t>
      </w:r>
      <w:r>
        <w:rPr>
          <w:rFonts w:hint="eastAsia" w:ascii="仿宋" w:hAnsi="仿宋" w:eastAsia="仿宋" w:cs="仿宋"/>
          <w:color w:val="auto"/>
          <w:sz w:val="52"/>
          <w:szCs w:val="32"/>
          <w:highlight w:val="none"/>
        </w:rPr>
        <w:t xml:space="preserve"> </w:t>
      </w:r>
      <w:bookmarkEnd w:id="362"/>
      <w:bookmarkEnd w:id="363"/>
      <w:bookmarkEnd w:id="364"/>
      <w:bookmarkEnd w:id="365"/>
      <w:bookmarkStart w:id="367" w:name="_Toc12253"/>
      <w:r>
        <w:rPr>
          <w:rFonts w:hint="eastAsia" w:ascii="仿宋" w:hAnsi="仿宋" w:eastAsia="仿宋" w:cs="仿宋"/>
          <w:color w:val="auto"/>
          <w:sz w:val="52"/>
          <w:szCs w:val="32"/>
          <w:highlight w:val="none"/>
        </w:rPr>
        <w:t>项目需求</w:t>
      </w:r>
      <w:bookmarkEnd w:id="366"/>
      <w:bookmarkEnd w:id="367"/>
    </w:p>
    <w:p>
      <w:pPr>
        <w:keepNext w:val="0"/>
        <w:keepLines w:val="0"/>
        <w:widowControl/>
        <w:suppressLineNumbers w:val="0"/>
        <w:jc w:val="left"/>
        <w:rPr>
          <w:rFonts w:hint="eastAsia" w:ascii="仿宋" w:hAnsi="仿宋" w:eastAsia="仿宋" w:cs="仿宋"/>
          <w:sz w:val="28"/>
          <w:szCs w:val="28"/>
        </w:rPr>
      </w:pPr>
      <w:bookmarkStart w:id="368" w:name="_Toc27264"/>
      <w:bookmarkStart w:id="369" w:name="_Toc6902"/>
      <w:bookmarkStart w:id="370" w:name="_Toc25064"/>
      <w:bookmarkStart w:id="371" w:name="_Toc1526"/>
      <w:bookmarkStart w:id="372" w:name="_Toc18168"/>
      <w:r>
        <w:rPr>
          <w:rFonts w:hint="eastAsia" w:ascii="仿宋" w:hAnsi="仿宋" w:eastAsia="仿宋" w:cs="仿宋"/>
          <w:b/>
          <w:bCs/>
          <w:color w:val="000000"/>
          <w:kern w:val="0"/>
          <w:sz w:val="28"/>
          <w:szCs w:val="28"/>
          <w:lang w:val="en-US" w:eastAsia="zh-CN" w:bidi="ar"/>
        </w:rPr>
        <w:t xml:space="preserve">一、项目需求信息 </w:t>
      </w:r>
    </w:p>
    <w:p>
      <w:pPr>
        <w:pStyle w:val="11"/>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sz w:val="24"/>
          <w:szCs w:val="24"/>
        </w:rPr>
      </w:pPr>
      <w:r>
        <w:rPr>
          <w:rFonts w:hint="eastAsia" w:ascii="仿宋" w:hAnsi="仿宋" w:eastAsia="仿宋" w:cs="仿宋"/>
          <w:color w:val="000000"/>
          <w:kern w:val="0"/>
          <w:sz w:val="24"/>
          <w:szCs w:val="24"/>
          <w:lang w:val="en-US" w:eastAsia="zh-CN" w:bidi="ar"/>
        </w:rPr>
        <w:t>为了保护学校和学校师生的合法利益，转移校园事故风险，减少校园事故发生的经济纠纷，学校需要购买校方综合防范保障保险（校方责任险，</w:t>
      </w:r>
      <w:r>
        <w:rPr>
          <w:rFonts w:hint="eastAsia" w:ascii="仿宋" w:hAnsi="仿宋" w:eastAsia="仿宋" w:cs="仿宋"/>
          <w:color w:val="000000"/>
          <w:kern w:val="0"/>
          <w:sz w:val="24"/>
          <w:szCs w:val="24"/>
          <w:highlight w:val="none"/>
          <w:lang w:val="en-US" w:eastAsia="zh-CN" w:bidi="ar"/>
        </w:rPr>
        <w:t>校园食品安全责任险，校方无过失责任险，</w:t>
      </w:r>
      <w:r>
        <w:rPr>
          <w:rFonts w:hint="eastAsia" w:ascii="仿宋" w:hAnsi="仿宋" w:eastAsia="仿宋" w:cs="仿宋"/>
          <w:color w:val="000000"/>
          <w:kern w:val="0"/>
          <w:sz w:val="24"/>
          <w:szCs w:val="24"/>
          <w:lang w:val="en-US" w:eastAsia="zh-CN" w:bidi="ar"/>
        </w:rPr>
        <w:t xml:space="preserve">校方传染病责任险，四种保险统一打包购买）。 </w:t>
      </w:r>
    </w:p>
    <w:p>
      <w:pPr>
        <w:keepNext w:val="0"/>
        <w:keepLines w:val="0"/>
        <w:widowControl/>
        <w:suppressLineNumbers w:val="0"/>
        <w:jc w:val="left"/>
        <w:rPr>
          <w:rFonts w:hint="eastAsia" w:ascii="仿宋" w:hAnsi="仿宋" w:eastAsia="仿宋" w:cs="仿宋"/>
          <w:sz w:val="28"/>
          <w:szCs w:val="28"/>
        </w:rPr>
      </w:pPr>
      <w:r>
        <w:rPr>
          <w:rFonts w:hint="eastAsia" w:ascii="仿宋" w:hAnsi="仿宋" w:eastAsia="仿宋" w:cs="仿宋"/>
          <w:b/>
          <w:bCs/>
          <w:color w:val="000000"/>
          <w:kern w:val="0"/>
          <w:sz w:val="28"/>
          <w:szCs w:val="28"/>
          <w:lang w:val="en-US" w:eastAsia="zh-CN" w:bidi="ar"/>
        </w:rPr>
        <w:t xml:space="preserve"> 二、项目需求一览表 </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Autospacing="0" w:line="500" w:lineRule="exact"/>
        <w:ind w:left="0" w:right="0" w:firstLine="480" w:firstLineChars="200"/>
        <w:jc w:val="left"/>
        <w:textAlignment w:val="auto"/>
        <w:rPr>
          <w:rFonts w:hint="eastAsia" w:ascii="仿宋" w:hAnsi="仿宋" w:eastAsia="仿宋" w:cs="仿宋"/>
          <w:caps w:val="0"/>
          <w:smallCaps w:val="0"/>
          <w:color w:val="auto"/>
          <w:kern w:val="0"/>
          <w:sz w:val="24"/>
          <w:szCs w:val="24"/>
          <w:highlight w:val="none"/>
          <w:lang w:val="en-US" w:eastAsia="zh-CN" w:bidi="ar"/>
        </w:rPr>
      </w:pPr>
      <w:r>
        <w:rPr>
          <w:rFonts w:hint="eastAsia" w:ascii="仿宋" w:hAnsi="仿宋" w:eastAsia="仿宋" w:cs="仿宋"/>
          <w:color w:val="000000"/>
          <w:kern w:val="0"/>
          <w:sz w:val="24"/>
          <w:szCs w:val="24"/>
          <w:lang w:val="en-US" w:eastAsia="zh-CN" w:bidi="ar"/>
        </w:rPr>
        <w:t>（一）</w:t>
      </w:r>
      <w:r>
        <w:rPr>
          <w:rFonts w:hint="eastAsia" w:ascii="仿宋" w:hAnsi="仿宋" w:eastAsia="仿宋" w:cs="仿宋"/>
          <w:caps w:val="0"/>
          <w:smallCaps w:val="0"/>
          <w:color w:val="auto"/>
          <w:kern w:val="0"/>
          <w:sz w:val="24"/>
          <w:szCs w:val="24"/>
          <w:highlight w:val="none"/>
          <w:lang w:val="en-US" w:eastAsia="zh-CN" w:bidi="ar"/>
        </w:rPr>
        <w:t>保险责任</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Autospacing="0" w:line="500" w:lineRule="exact"/>
        <w:ind w:left="0" w:right="0" w:firstLine="480" w:firstLineChars="200"/>
        <w:jc w:val="left"/>
        <w:textAlignment w:val="auto"/>
        <w:rPr>
          <w:rFonts w:hint="eastAsia" w:ascii="仿宋" w:hAnsi="仿宋" w:eastAsia="仿宋" w:cs="仿宋"/>
          <w:caps w:val="0"/>
          <w:smallCaps w:val="0"/>
          <w:color w:val="auto"/>
          <w:kern w:val="0"/>
          <w:sz w:val="24"/>
          <w:szCs w:val="24"/>
          <w:highlight w:val="none"/>
          <w:lang w:val="en-US" w:eastAsia="zh-CN" w:bidi="ar"/>
        </w:rPr>
      </w:pPr>
      <w:r>
        <w:rPr>
          <w:rFonts w:hint="eastAsia" w:ascii="仿宋" w:hAnsi="仿宋" w:eastAsia="仿宋" w:cs="仿宋"/>
          <w:caps w:val="0"/>
          <w:smallCaps w:val="0"/>
          <w:color w:val="auto"/>
          <w:kern w:val="0"/>
          <w:sz w:val="24"/>
          <w:szCs w:val="24"/>
          <w:highlight w:val="none"/>
          <w:lang w:val="en-US" w:eastAsia="zh-CN" w:bidi="ar"/>
        </w:rPr>
        <w:t>校方责任保险：校方责任险是指在被保险人的在校活动中或由被保险人统一组织或安排的活动过程中，因被保险人疏忽和过失导致注册学生的人身伤害，依法应由被保险人承担的经济赔偿责任。具体内容涵盖《学生伤害事故处理办法》中列举的应由学校承担责任的所有情形。</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Autospacing="0" w:line="500" w:lineRule="exact"/>
        <w:ind w:left="0" w:right="0" w:firstLine="480" w:firstLineChars="200"/>
        <w:jc w:val="left"/>
        <w:textAlignment w:val="auto"/>
        <w:rPr>
          <w:rFonts w:hint="eastAsia" w:ascii="仿宋" w:hAnsi="仿宋" w:eastAsia="仿宋" w:cs="仿宋"/>
          <w:caps w:val="0"/>
          <w:smallCaps w:val="0"/>
          <w:color w:val="auto"/>
          <w:kern w:val="0"/>
          <w:sz w:val="24"/>
          <w:szCs w:val="24"/>
          <w:highlight w:val="none"/>
          <w:lang w:val="en-US" w:eastAsia="zh-CN" w:bidi="ar"/>
        </w:rPr>
      </w:pPr>
      <w:r>
        <w:rPr>
          <w:rFonts w:hint="eastAsia" w:ascii="仿宋" w:hAnsi="仿宋" w:eastAsia="仿宋" w:cs="仿宋"/>
          <w:caps w:val="0"/>
          <w:smallCaps w:val="0"/>
          <w:color w:val="auto"/>
          <w:kern w:val="0"/>
          <w:sz w:val="24"/>
          <w:szCs w:val="24"/>
          <w:highlight w:val="none"/>
          <w:lang w:val="en-US" w:eastAsia="zh-CN" w:bidi="ar"/>
        </w:rPr>
        <w:t>校园食品安全责任险：校方食品安全责任险是指被保险人在上学期间因学校食堂或周边小店提供的食物卫生异常导致学生人身伤害，依法应由被保险人承担的经济赔偿责任。</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Autospacing="0" w:line="500" w:lineRule="exact"/>
        <w:ind w:left="0" w:right="0" w:firstLine="480" w:firstLineChars="200"/>
        <w:jc w:val="left"/>
        <w:textAlignment w:val="auto"/>
        <w:rPr>
          <w:rFonts w:hint="eastAsia" w:ascii="仿宋" w:hAnsi="仿宋" w:eastAsia="仿宋" w:cs="仿宋"/>
          <w:caps w:val="0"/>
          <w:smallCaps w:val="0"/>
          <w:color w:val="auto"/>
          <w:kern w:val="0"/>
          <w:sz w:val="24"/>
          <w:szCs w:val="24"/>
          <w:highlight w:val="none"/>
          <w:lang w:val="en-US" w:eastAsia="zh-CN" w:bidi="ar"/>
        </w:rPr>
      </w:pPr>
      <w:r>
        <w:rPr>
          <w:rFonts w:hint="eastAsia" w:ascii="仿宋" w:hAnsi="仿宋" w:eastAsia="仿宋" w:cs="仿宋"/>
          <w:caps w:val="0"/>
          <w:smallCaps w:val="0"/>
          <w:color w:val="auto"/>
          <w:kern w:val="0"/>
          <w:sz w:val="24"/>
          <w:szCs w:val="24"/>
          <w:highlight w:val="none"/>
          <w:lang w:val="en-US" w:eastAsia="zh-CN" w:bidi="ar"/>
        </w:rPr>
        <w:t>校方无过失责任险：校方无过失责任险是指在被保险人的在校活动中或由被保险人统一组织或安排的活动过程中，因自然灾害、学生自身原因、学生体质差异、校外的突发性侵害造成学生人身伤亡，尽管被保险人已经履行了相应职责，行为并无不当，但仍需对受害学生给予经济补偿时，保险人按照本附加险合同约定负责赔偿。</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Autospacing="0" w:line="500" w:lineRule="exact"/>
        <w:ind w:left="0" w:right="0" w:firstLine="480" w:firstLineChars="200"/>
        <w:jc w:val="left"/>
        <w:textAlignment w:val="auto"/>
        <w:rPr>
          <w:rFonts w:hint="eastAsia" w:ascii="仿宋" w:hAnsi="仿宋" w:eastAsia="仿宋" w:cs="仿宋"/>
          <w:caps w:val="0"/>
          <w:smallCaps w:val="0"/>
          <w:color w:val="auto"/>
          <w:kern w:val="0"/>
          <w:sz w:val="24"/>
          <w:szCs w:val="24"/>
          <w:highlight w:val="none"/>
          <w:lang w:val="en-US" w:eastAsia="zh-CN" w:bidi="ar"/>
        </w:rPr>
      </w:pPr>
      <w:r>
        <w:rPr>
          <w:rFonts w:hint="eastAsia" w:ascii="仿宋" w:hAnsi="仿宋" w:eastAsia="仿宋" w:cs="仿宋"/>
          <w:caps w:val="0"/>
          <w:smallCaps w:val="0"/>
          <w:color w:val="auto"/>
          <w:kern w:val="0"/>
          <w:sz w:val="24"/>
          <w:szCs w:val="24"/>
          <w:highlight w:val="none"/>
          <w:lang w:val="en-US" w:eastAsia="zh-CN" w:bidi="ar"/>
        </w:rPr>
        <w:t>校方传染病责任险：校方传染病责任险是指由于被保险人或其雇员的疏忽或过失，造成保险单载明的法定传染病(国家规定法定传染病中的：鼠疫、霍乱、流行性乙型脑炎、人感染高致病性禽流感、麻疹、流行性出血热、登革热、肺结核、伤寒和副伤寒、手足口病、病毒性肝炎、痢疾、猩红热、艾滋病、传染性非典型肺炎、流行性腮腺炎、急性出血性结膜炎、狂犬病。)大范围传染(指10人以上或校(园)内五分之一以上注册学生感染),注册学生因在校(园)内感染特定传染病造成下列依法应由被保险人承担的经济赔偿责任(主要包括身故、残疾、医疗费用等)。</w:t>
      </w:r>
    </w:p>
    <w:p>
      <w:pPr>
        <w:pStyle w:val="11"/>
        <w:numPr>
          <w:ilvl w:val="0"/>
          <w:numId w:val="23"/>
        </w:numPr>
        <w:shd w:val="clear" w:color="auto" w:fill="auto"/>
        <w:spacing w:line="360" w:lineRule="auto"/>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保险方案</w:t>
      </w:r>
    </w:p>
    <w:p>
      <w:pPr>
        <w:ind w:left="0" w:leftChars="0" w:firstLine="0" w:firstLineChars="0"/>
        <w:outlineLvl w:val="9"/>
        <w:rPr>
          <w:rFonts w:hint="eastAsia" w:ascii="仿宋" w:hAnsi="仿宋" w:eastAsia="仿宋" w:cs="仿宋"/>
          <w:b w:val="0"/>
          <w:bCs w:val="0"/>
          <w:caps w:val="0"/>
          <w:smallCaps w:val="0"/>
          <w:color w:val="auto"/>
          <w:kern w:val="0"/>
          <w:sz w:val="24"/>
          <w:szCs w:val="24"/>
          <w:highlight w:val="none"/>
          <w:lang w:val="en-US" w:eastAsia="zh-CN" w:bidi="ar"/>
        </w:rPr>
      </w:pPr>
      <w:r>
        <w:rPr>
          <w:rFonts w:hint="eastAsia" w:ascii="仿宋" w:hAnsi="仿宋" w:eastAsia="仿宋" w:cs="仿宋"/>
          <w:b w:val="0"/>
          <w:bCs w:val="0"/>
          <w:caps w:val="0"/>
          <w:smallCaps w:val="0"/>
          <w:color w:val="auto"/>
          <w:kern w:val="0"/>
          <w:sz w:val="24"/>
          <w:szCs w:val="24"/>
          <w:highlight w:val="none"/>
          <w:lang w:val="en-US" w:eastAsia="zh-CN" w:bidi="ar"/>
        </w:rPr>
        <w:t>1、义务教育阶段</w:t>
      </w: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0"/>
        <w:gridCol w:w="4193"/>
        <w:gridCol w:w="19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2330" w:type="dxa"/>
            <w:noWrap w:val="0"/>
            <w:vAlign w:val="center"/>
          </w:tcPr>
          <w:p>
            <w:pPr>
              <w:adjustRightInd w:val="0"/>
              <w:spacing w:line="440" w:lineRule="exact"/>
              <w:jc w:val="center"/>
              <w:rPr>
                <w:rFonts w:hint="eastAsia" w:ascii="仿宋" w:hAnsi="仿宋" w:eastAsia="仿宋" w:cs="仿宋"/>
                <w:b/>
                <w:bCs w:val="0"/>
                <w:snapToGrid w:val="0"/>
                <w:kern w:val="21"/>
                <w:sz w:val="24"/>
                <w:szCs w:val="24"/>
              </w:rPr>
            </w:pPr>
            <w:r>
              <w:rPr>
                <w:rFonts w:hint="eastAsia" w:ascii="仿宋" w:hAnsi="仿宋" w:eastAsia="仿宋" w:cs="仿宋"/>
                <w:b/>
                <w:bCs w:val="0"/>
                <w:snapToGrid w:val="0"/>
                <w:kern w:val="21"/>
                <w:sz w:val="24"/>
                <w:szCs w:val="24"/>
              </w:rPr>
              <w:t>保险项目</w:t>
            </w:r>
          </w:p>
        </w:tc>
        <w:tc>
          <w:tcPr>
            <w:tcW w:w="4193" w:type="dxa"/>
            <w:noWrap w:val="0"/>
            <w:vAlign w:val="top"/>
          </w:tcPr>
          <w:p>
            <w:pPr>
              <w:adjustRightInd w:val="0"/>
              <w:spacing w:line="440" w:lineRule="exact"/>
              <w:jc w:val="center"/>
              <w:rPr>
                <w:rFonts w:hint="eastAsia" w:ascii="仿宋" w:hAnsi="仿宋" w:eastAsia="仿宋" w:cs="仿宋"/>
                <w:b/>
                <w:bCs w:val="0"/>
                <w:snapToGrid w:val="0"/>
                <w:kern w:val="21"/>
                <w:sz w:val="24"/>
                <w:szCs w:val="24"/>
              </w:rPr>
            </w:pPr>
            <w:r>
              <w:rPr>
                <w:rFonts w:hint="eastAsia" w:ascii="仿宋" w:hAnsi="仿宋" w:eastAsia="仿宋" w:cs="仿宋"/>
                <w:b/>
                <w:bCs w:val="0"/>
                <w:snapToGrid w:val="0"/>
                <w:kern w:val="21"/>
                <w:sz w:val="24"/>
                <w:szCs w:val="24"/>
              </w:rPr>
              <w:t>责任限额类别</w:t>
            </w:r>
          </w:p>
        </w:tc>
        <w:tc>
          <w:tcPr>
            <w:tcW w:w="1999" w:type="dxa"/>
            <w:noWrap w:val="0"/>
            <w:vAlign w:val="top"/>
          </w:tcPr>
          <w:p>
            <w:pPr>
              <w:adjustRightInd w:val="0"/>
              <w:spacing w:line="440" w:lineRule="exact"/>
              <w:jc w:val="center"/>
              <w:rPr>
                <w:rFonts w:hint="eastAsia" w:ascii="仿宋" w:hAnsi="仿宋" w:eastAsia="仿宋" w:cs="仿宋"/>
                <w:b/>
                <w:bCs w:val="0"/>
                <w:snapToGrid w:val="0"/>
                <w:kern w:val="21"/>
                <w:sz w:val="24"/>
                <w:szCs w:val="24"/>
              </w:rPr>
            </w:pPr>
            <w:r>
              <w:rPr>
                <w:rFonts w:hint="eastAsia" w:ascii="仿宋" w:hAnsi="仿宋" w:eastAsia="仿宋" w:cs="仿宋"/>
                <w:b/>
                <w:bCs w:val="0"/>
                <w:snapToGrid w:val="0"/>
                <w:kern w:val="21"/>
                <w:sz w:val="24"/>
                <w:szCs w:val="24"/>
              </w:rPr>
              <w:t>责任限额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restart"/>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校园食品安全责任险</w:t>
            </w: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累计责任限额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6</w:t>
            </w:r>
            <w:r>
              <w:rPr>
                <w:rFonts w:hint="eastAsia" w:ascii="仿宋" w:hAnsi="仿宋" w:eastAsia="仿宋" w:cs="仿宋"/>
                <w:bCs/>
                <w:snapToGrid w:val="0"/>
                <w:kern w:val="21"/>
                <w:sz w:val="24"/>
                <w:szCs w:val="24"/>
              </w:rPr>
              <w:t>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每校每年责任</w:t>
            </w:r>
            <w:r>
              <w:rPr>
                <w:rFonts w:hint="eastAsia" w:ascii="仿宋" w:hAnsi="仿宋" w:eastAsia="仿宋" w:cs="仿宋"/>
                <w:bCs/>
                <w:snapToGrid w:val="0"/>
                <w:kern w:val="21"/>
                <w:sz w:val="24"/>
                <w:szCs w:val="24"/>
              </w:rPr>
              <w:t>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6</w:t>
            </w:r>
            <w:r>
              <w:rPr>
                <w:rFonts w:hint="eastAsia" w:ascii="仿宋" w:hAnsi="仿宋" w:eastAsia="仿宋" w:cs="仿宋"/>
                <w:bCs/>
                <w:snapToGrid w:val="0"/>
                <w:kern w:val="21"/>
                <w:sz w:val="24"/>
                <w:szCs w:val="24"/>
              </w:rPr>
              <w:t>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highlight w:val="none"/>
              </w:rPr>
            </w:pPr>
            <w:r>
              <w:rPr>
                <w:rFonts w:hint="eastAsia" w:ascii="仿宋" w:hAnsi="仿宋" w:eastAsia="仿宋" w:cs="仿宋"/>
                <w:bCs/>
                <w:snapToGrid w:val="0"/>
                <w:kern w:val="21"/>
                <w:sz w:val="24"/>
                <w:szCs w:val="24"/>
                <w:highlight w:val="none"/>
              </w:rPr>
              <w:t>每</w:t>
            </w:r>
            <w:r>
              <w:rPr>
                <w:rFonts w:hint="eastAsia" w:ascii="仿宋" w:hAnsi="仿宋" w:eastAsia="仿宋" w:cs="仿宋"/>
                <w:bCs/>
                <w:snapToGrid w:val="0"/>
                <w:kern w:val="21"/>
                <w:sz w:val="24"/>
                <w:szCs w:val="24"/>
                <w:highlight w:val="none"/>
                <w:lang w:val="en-US" w:eastAsia="zh-CN"/>
              </w:rPr>
              <w:t>生每年</w:t>
            </w:r>
            <w:r>
              <w:rPr>
                <w:rFonts w:hint="eastAsia" w:ascii="仿宋" w:hAnsi="仿宋" w:eastAsia="仿宋" w:cs="仿宋"/>
                <w:bCs/>
                <w:snapToGrid w:val="0"/>
                <w:kern w:val="21"/>
                <w:sz w:val="24"/>
                <w:szCs w:val="24"/>
                <w:highlight w:val="none"/>
              </w:rPr>
              <w:t>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highlight w:val="none"/>
              </w:rPr>
            </w:pPr>
            <w:r>
              <w:rPr>
                <w:rFonts w:hint="eastAsia" w:ascii="仿宋" w:hAnsi="仿宋" w:eastAsia="仿宋" w:cs="仿宋"/>
                <w:bCs/>
                <w:snapToGrid w:val="0"/>
                <w:kern w:val="21"/>
                <w:sz w:val="24"/>
                <w:szCs w:val="24"/>
                <w:highlight w:val="none"/>
              </w:rPr>
              <w:t>50万元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每次事故每人医疗费用责任限额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50万元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每次事故赔偿限额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4000万元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restart"/>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校方无过失责任险</w:t>
            </w:r>
          </w:p>
        </w:tc>
        <w:tc>
          <w:tcPr>
            <w:tcW w:w="4193" w:type="dxa"/>
            <w:noWrap w:val="0"/>
            <w:vAlign w:val="top"/>
          </w:tcPr>
          <w:p>
            <w:pPr>
              <w:adjustRightInd w:val="0"/>
              <w:spacing w:line="440" w:lineRule="exact"/>
              <w:jc w:val="center"/>
              <w:rPr>
                <w:rFonts w:hint="eastAsia" w:ascii="仿宋" w:hAnsi="仿宋" w:eastAsia="仿宋" w:cs="仿宋"/>
                <w:bCs/>
                <w:snapToGrid w:val="0"/>
                <w:color w:val="auto"/>
                <w:kern w:val="21"/>
                <w:sz w:val="24"/>
                <w:szCs w:val="24"/>
                <w:lang w:val="en-US" w:eastAsia="zh-CN" w:bidi="ar-SA"/>
              </w:rPr>
            </w:pPr>
            <w:r>
              <w:rPr>
                <w:rFonts w:hint="eastAsia" w:ascii="仿宋" w:hAnsi="仿宋" w:eastAsia="仿宋" w:cs="仿宋"/>
                <w:bCs/>
                <w:snapToGrid w:val="0"/>
                <w:color w:val="auto"/>
                <w:kern w:val="21"/>
                <w:sz w:val="24"/>
                <w:szCs w:val="24"/>
              </w:rPr>
              <w:t>每次事故每人责任限额</w:t>
            </w:r>
          </w:p>
        </w:tc>
        <w:tc>
          <w:tcPr>
            <w:tcW w:w="1999" w:type="dxa"/>
            <w:noWrap w:val="0"/>
            <w:vAlign w:val="center"/>
          </w:tcPr>
          <w:p>
            <w:pPr>
              <w:adjustRightInd w:val="0"/>
              <w:spacing w:line="440" w:lineRule="exact"/>
              <w:jc w:val="center"/>
              <w:rPr>
                <w:rFonts w:hint="eastAsia" w:ascii="仿宋" w:hAnsi="仿宋" w:eastAsia="仿宋" w:cs="仿宋"/>
                <w:bCs/>
                <w:snapToGrid w:val="0"/>
                <w:color w:val="auto"/>
                <w:kern w:val="21"/>
                <w:sz w:val="24"/>
                <w:szCs w:val="24"/>
                <w:lang w:val="en-US" w:eastAsia="zh-CN" w:bidi="ar-SA"/>
              </w:rPr>
            </w:pPr>
            <w:r>
              <w:rPr>
                <w:rFonts w:hint="eastAsia" w:ascii="仿宋" w:hAnsi="仿宋" w:eastAsia="仿宋" w:cs="仿宋"/>
                <w:bCs/>
                <w:snapToGrid w:val="0"/>
                <w:color w:val="auto"/>
                <w:kern w:val="21"/>
                <w:sz w:val="24"/>
                <w:szCs w:val="24"/>
              </w:rPr>
              <w:t>60万元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color w:val="auto"/>
                <w:kern w:val="21"/>
                <w:sz w:val="24"/>
                <w:szCs w:val="24"/>
              </w:rPr>
            </w:pPr>
            <w:r>
              <w:rPr>
                <w:rFonts w:hint="eastAsia" w:ascii="仿宋" w:hAnsi="仿宋" w:eastAsia="仿宋" w:cs="仿宋"/>
                <w:bCs/>
                <w:snapToGrid w:val="0"/>
                <w:color w:val="auto"/>
                <w:kern w:val="21"/>
                <w:sz w:val="24"/>
                <w:szCs w:val="24"/>
              </w:rPr>
              <w:t>每</w:t>
            </w:r>
            <w:r>
              <w:rPr>
                <w:rFonts w:hint="eastAsia" w:ascii="仿宋" w:hAnsi="仿宋" w:eastAsia="仿宋" w:cs="仿宋"/>
                <w:bCs/>
                <w:snapToGrid w:val="0"/>
                <w:color w:val="auto"/>
                <w:kern w:val="21"/>
                <w:sz w:val="24"/>
                <w:szCs w:val="24"/>
                <w:lang w:val="en-US" w:eastAsia="zh-CN"/>
              </w:rPr>
              <w:t>校累计责任限额</w:t>
            </w:r>
          </w:p>
        </w:tc>
        <w:tc>
          <w:tcPr>
            <w:tcW w:w="1999" w:type="dxa"/>
            <w:noWrap w:val="0"/>
            <w:vAlign w:val="center"/>
          </w:tcPr>
          <w:p>
            <w:pPr>
              <w:adjustRightInd w:val="0"/>
              <w:spacing w:line="440" w:lineRule="exact"/>
              <w:jc w:val="center"/>
              <w:rPr>
                <w:rFonts w:hint="eastAsia" w:ascii="仿宋" w:hAnsi="仿宋" w:eastAsia="仿宋" w:cs="仿宋"/>
                <w:bCs/>
                <w:snapToGrid w:val="0"/>
                <w:color w:val="auto"/>
                <w:kern w:val="21"/>
                <w:sz w:val="24"/>
                <w:szCs w:val="24"/>
              </w:rPr>
            </w:pPr>
            <w:r>
              <w:rPr>
                <w:rFonts w:hint="eastAsia" w:ascii="仿宋" w:hAnsi="仿宋" w:eastAsia="仿宋" w:cs="仿宋"/>
                <w:bCs/>
                <w:snapToGrid w:val="0"/>
                <w:color w:val="auto"/>
                <w:kern w:val="21"/>
                <w:sz w:val="24"/>
                <w:szCs w:val="24"/>
              </w:rPr>
              <w:t>500万元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第三者人身伤亡及非本校学生人身伤亡责任限额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30万元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每次事故每人非校方、非疾病原因救助限额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30万元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每校累计责任限额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500</w:t>
            </w:r>
            <w:r>
              <w:rPr>
                <w:rFonts w:hint="eastAsia" w:ascii="仿宋" w:hAnsi="仿宋" w:eastAsia="仿宋" w:cs="仿宋"/>
                <w:bCs/>
                <w:snapToGrid w:val="0"/>
                <w:kern w:val="21"/>
                <w:sz w:val="24"/>
                <w:szCs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每次事故每人非校方疾病死亡保障限额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lang w:val="en-US" w:eastAsia="zh-CN"/>
              </w:rPr>
              <w:t>10</w:t>
            </w:r>
            <w:r>
              <w:rPr>
                <w:rFonts w:hint="eastAsia" w:ascii="仿宋" w:hAnsi="仿宋" w:eastAsia="仿宋" w:cs="仿宋"/>
                <w:bCs/>
                <w:snapToGrid w:val="0"/>
                <w:kern w:val="21"/>
                <w:sz w:val="24"/>
                <w:szCs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每校累计责任限额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50万元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restart"/>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校方传染病责任险</w:t>
            </w: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累计责任限额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3</w:t>
            </w:r>
            <w:r>
              <w:rPr>
                <w:rFonts w:hint="eastAsia" w:ascii="仿宋" w:hAnsi="仿宋" w:eastAsia="仿宋" w:cs="仿宋"/>
                <w:bCs/>
                <w:snapToGrid w:val="0"/>
                <w:kern w:val="21"/>
                <w:sz w:val="24"/>
                <w:szCs w:val="24"/>
              </w:rPr>
              <w:t>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每次事故每人责任限额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60万元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rPr>
              <w:t>每次事故传染病控制费用限额</w:t>
            </w:r>
          </w:p>
        </w:tc>
        <w:tc>
          <w:tcPr>
            <w:tcW w:w="1999"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rPr>
              <w:t>10万元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教职工医疗费用限额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5万元</w:t>
            </w:r>
          </w:p>
        </w:tc>
      </w:tr>
    </w:tbl>
    <w:p>
      <w:pPr>
        <w:rPr>
          <w:rFonts w:hint="eastAsia" w:ascii="仿宋" w:hAnsi="仿宋" w:eastAsia="仿宋" w:cs="仿宋"/>
          <w:b w:val="0"/>
          <w:bCs w:val="0"/>
          <w:caps w:val="0"/>
          <w:smallCaps w:val="0"/>
          <w:color w:val="auto"/>
          <w:kern w:val="0"/>
          <w:sz w:val="24"/>
          <w:szCs w:val="24"/>
          <w:highlight w:val="none"/>
          <w:lang w:val="en-US" w:eastAsia="zh-CN" w:bidi="ar"/>
        </w:rPr>
      </w:pPr>
      <w:r>
        <w:rPr>
          <w:rFonts w:hint="eastAsia" w:ascii="仿宋" w:hAnsi="仿宋" w:eastAsia="仿宋" w:cs="仿宋"/>
          <w:b w:val="0"/>
          <w:bCs w:val="0"/>
          <w:caps w:val="0"/>
          <w:smallCaps w:val="0"/>
          <w:color w:val="auto"/>
          <w:kern w:val="0"/>
          <w:sz w:val="24"/>
          <w:szCs w:val="24"/>
          <w:highlight w:val="none"/>
          <w:lang w:val="en-US" w:eastAsia="zh-CN" w:bidi="ar"/>
        </w:rPr>
        <w:br w:type="page"/>
      </w:r>
    </w:p>
    <w:p>
      <w:pPr>
        <w:numPr>
          <w:ilvl w:val="0"/>
          <w:numId w:val="0"/>
        </w:numPr>
        <w:outlineLvl w:val="9"/>
        <w:rPr>
          <w:rFonts w:hint="eastAsia" w:ascii="仿宋" w:hAnsi="仿宋" w:eastAsia="仿宋" w:cs="仿宋"/>
          <w:b w:val="0"/>
          <w:bCs w:val="0"/>
          <w:caps w:val="0"/>
          <w:smallCaps w:val="0"/>
          <w:color w:val="auto"/>
          <w:kern w:val="0"/>
          <w:sz w:val="24"/>
          <w:szCs w:val="24"/>
          <w:highlight w:val="none"/>
          <w:lang w:val="en-US" w:eastAsia="zh-CN" w:bidi="ar"/>
        </w:rPr>
      </w:pPr>
      <w:r>
        <w:rPr>
          <w:rFonts w:hint="eastAsia" w:ascii="仿宋" w:hAnsi="仿宋" w:eastAsia="仿宋" w:cs="仿宋"/>
          <w:b w:val="0"/>
          <w:bCs w:val="0"/>
          <w:caps w:val="0"/>
          <w:smallCaps w:val="0"/>
          <w:color w:val="auto"/>
          <w:kern w:val="0"/>
          <w:sz w:val="24"/>
          <w:szCs w:val="24"/>
          <w:highlight w:val="none"/>
          <w:lang w:val="en-US" w:eastAsia="zh-CN" w:bidi="ar"/>
        </w:rPr>
        <w:t>2、非义务教育阶段</w:t>
      </w: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0"/>
        <w:gridCol w:w="4193"/>
        <w:gridCol w:w="19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2330" w:type="dxa"/>
            <w:noWrap w:val="0"/>
            <w:vAlign w:val="center"/>
          </w:tcPr>
          <w:p>
            <w:pPr>
              <w:adjustRightInd w:val="0"/>
              <w:spacing w:line="440" w:lineRule="exact"/>
              <w:jc w:val="center"/>
              <w:rPr>
                <w:rFonts w:hint="eastAsia" w:ascii="仿宋" w:hAnsi="仿宋" w:eastAsia="仿宋" w:cs="仿宋"/>
                <w:b/>
                <w:bCs w:val="0"/>
                <w:snapToGrid w:val="0"/>
                <w:kern w:val="21"/>
                <w:sz w:val="24"/>
                <w:szCs w:val="24"/>
              </w:rPr>
            </w:pPr>
            <w:r>
              <w:rPr>
                <w:rFonts w:hint="eastAsia" w:ascii="仿宋" w:hAnsi="仿宋" w:eastAsia="仿宋" w:cs="仿宋"/>
                <w:b/>
                <w:bCs w:val="0"/>
                <w:snapToGrid w:val="0"/>
                <w:kern w:val="21"/>
                <w:sz w:val="24"/>
                <w:szCs w:val="24"/>
              </w:rPr>
              <w:t>保险项目</w:t>
            </w:r>
          </w:p>
        </w:tc>
        <w:tc>
          <w:tcPr>
            <w:tcW w:w="4193" w:type="dxa"/>
            <w:noWrap w:val="0"/>
            <w:vAlign w:val="top"/>
          </w:tcPr>
          <w:p>
            <w:pPr>
              <w:adjustRightInd w:val="0"/>
              <w:spacing w:line="440" w:lineRule="exact"/>
              <w:jc w:val="center"/>
              <w:rPr>
                <w:rFonts w:hint="eastAsia" w:ascii="仿宋" w:hAnsi="仿宋" w:eastAsia="仿宋" w:cs="仿宋"/>
                <w:b/>
                <w:bCs w:val="0"/>
                <w:snapToGrid w:val="0"/>
                <w:kern w:val="21"/>
                <w:sz w:val="24"/>
                <w:szCs w:val="24"/>
              </w:rPr>
            </w:pPr>
            <w:r>
              <w:rPr>
                <w:rFonts w:hint="eastAsia" w:ascii="仿宋" w:hAnsi="仿宋" w:eastAsia="仿宋" w:cs="仿宋"/>
                <w:b/>
                <w:bCs w:val="0"/>
                <w:snapToGrid w:val="0"/>
                <w:kern w:val="21"/>
                <w:sz w:val="24"/>
                <w:szCs w:val="24"/>
              </w:rPr>
              <w:t>责任限额类别</w:t>
            </w:r>
          </w:p>
        </w:tc>
        <w:tc>
          <w:tcPr>
            <w:tcW w:w="1999" w:type="dxa"/>
            <w:noWrap w:val="0"/>
            <w:vAlign w:val="top"/>
          </w:tcPr>
          <w:p>
            <w:pPr>
              <w:adjustRightInd w:val="0"/>
              <w:spacing w:line="440" w:lineRule="exact"/>
              <w:jc w:val="center"/>
              <w:rPr>
                <w:rFonts w:hint="eastAsia" w:ascii="仿宋" w:hAnsi="仿宋" w:eastAsia="仿宋" w:cs="仿宋"/>
                <w:b/>
                <w:bCs w:val="0"/>
                <w:snapToGrid w:val="0"/>
                <w:kern w:val="21"/>
                <w:sz w:val="24"/>
                <w:szCs w:val="24"/>
              </w:rPr>
            </w:pPr>
            <w:r>
              <w:rPr>
                <w:rFonts w:hint="eastAsia" w:ascii="仿宋" w:hAnsi="仿宋" w:eastAsia="仿宋" w:cs="仿宋"/>
                <w:b/>
                <w:bCs w:val="0"/>
                <w:snapToGrid w:val="0"/>
                <w:kern w:val="21"/>
                <w:sz w:val="24"/>
                <w:szCs w:val="24"/>
              </w:rPr>
              <w:t>责任限额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restart"/>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校方责任险</w:t>
            </w: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每次事故责任限额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5</w:t>
            </w:r>
            <w:r>
              <w:rPr>
                <w:rFonts w:hint="eastAsia" w:ascii="仿宋" w:hAnsi="仿宋" w:eastAsia="仿宋" w:cs="仿宋"/>
                <w:bCs/>
                <w:snapToGrid w:val="0"/>
                <w:kern w:val="21"/>
                <w:sz w:val="24"/>
                <w:szCs w:val="24"/>
              </w:rPr>
              <w:t>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每校每年</w:t>
            </w:r>
            <w:r>
              <w:rPr>
                <w:rFonts w:hint="eastAsia" w:ascii="仿宋" w:hAnsi="仿宋" w:eastAsia="仿宋" w:cs="仿宋"/>
                <w:bCs/>
                <w:snapToGrid w:val="0"/>
                <w:kern w:val="21"/>
                <w:sz w:val="24"/>
                <w:szCs w:val="24"/>
              </w:rPr>
              <w:t>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8</w:t>
            </w:r>
            <w:r>
              <w:rPr>
                <w:rFonts w:hint="eastAsia" w:ascii="仿宋" w:hAnsi="仿宋" w:eastAsia="仿宋" w:cs="仿宋"/>
                <w:bCs/>
                <w:snapToGrid w:val="0"/>
                <w:kern w:val="21"/>
                <w:sz w:val="24"/>
                <w:szCs w:val="24"/>
              </w:rPr>
              <w:t>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每次事故每人责任限额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lang w:val="en-US" w:eastAsia="zh-CN"/>
              </w:rPr>
              <w:t>120</w:t>
            </w:r>
            <w:r>
              <w:rPr>
                <w:rFonts w:hint="eastAsia" w:ascii="仿宋" w:hAnsi="仿宋" w:eastAsia="仿宋" w:cs="仿宋"/>
                <w:bCs/>
                <w:snapToGrid w:val="0"/>
                <w:kern w:val="21"/>
                <w:sz w:val="24"/>
                <w:szCs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免赔额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restart"/>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校园食品安全责任险</w:t>
            </w: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累计责任限额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6</w:t>
            </w:r>
            <w:r>
              <w:rPr>
                <w:rFonts w:hint="eastAsia" w:ascii="仿宋" w:hAnsi="仿宋" w:eastAsia="仿宋" w:cs="仿宋"/>
                <w:bCs/>
                <w:snapToGrid w:val="0"/>
                <w:kern w:val="21"/>
                <w:sz w:val="24"/>
                <w:szCs w:val="24"/>
              </w:rPr>
              <w:t>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每校每年责任</w:t>
            </w:r>
            <w:r>
              <w:rPr>
                <w:rFonts w:hint="eastAsia" w:ascii="仿宋" w:hAnsi="仿宋" w:eastAsia="仿宋" w:cs="仿宋"/>
                <w:bCs/>
                <w:snapToGrid w:val="0"/>
                <w:kern w:val="21"/>
                <w:sz w:val="24"/>
                <w:szCs w:val="24"/>
              </w:rPr>
              <w:t>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6</w:t>
            </w:r>
            <w:r>
              <w:rPr>
                <w:rFonts w:hint="eastAsia" w:ascii="仿宋" w:hAnsi="仿宋" w:eastAsia="仿宋" w:cs="仿宋"/>
                <w:bCs/>
                <w:snapToGrid w:val="0"/>
                <w:kern w:val="21"/>
                <w:sz w:val="24"/>
                <w:szCs w:val="24"/>
              </w:rPr>
              <w:t>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highlight w:val="none"/>
              </w:rPr>
            </w:pPr>
            <w:r>
              <w:rPr>
                <w:rFonts w:hint="eastAsia" w:ascii="仿宋" w:hAnsi="仿宋" w:eastAsia="仿宋" w:cs="仿宋"/>
                <w:bCs/>
                <w:snapToGrid w:val="0"/>
                <w:kern w:val="21"/>
                <w:sz w:val="24"/>
                <w:szCs w:val="24"/>
                <w:highlight w:val="none"/>
              </w:rPr>
              <w:t>每</w:t>
            </w:r>
            <w:r>
              <w:rPr>
                <w:rFonts w:hint="eastAsia" w:ascii="仿宋" w:hAnsi="仿宋" w:eastAsia="仿宋" w:cs="仿宋"/>
                <w:bCs/>
                <w:snapToGrid w:val="0"/>
                <w:kern w:val="21"/>
                <w:sz w:val="24"/>
                <w:szCs w:val="24"/>
                <w:highlight w:val="none"/>
                <w:lang w:val="en-US" w:eastAsia="zh-CN"/>
              </w:rPr>
              <w:t>生每年</w:t>
            </w:r>
            <w:r>
              <w:rPr>
                <w:rFonts w:hint="eastAsia" w:ascii="仿宋" w:hAnsi="仿宋" w:eastAsia="仿宋" w:cs="仿宋"/>
                <w:bCs/>
                <w:snapToGrid w:val="0"/>
                <w:kern w:val="21"/>
                <w:sz w:val="24"/>
                <w:szCs w:val="24"/>
                <w:highlight w:val="none"/>
              </w:rPr>
              <w:t>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highlight w:val="none"/>
              </w:rPr>
            </w:pPr>
            <w:r>
              <w:rPr>
                <w:rFonts w:hint="eastAsia" w:ascii="仿宋" w:hAnsi="仿宋" w:eastAsia="仿宋" w:cs="仿宋"/>
                <w:bCs/>
                <w:snapToGrid w:val="0"/>
                <w:kern w:val="21"/>
                <w:sz w:val="24"/>
                <w:szCs w:val="24"/>
                <w:highlight w:val="none"/>
              </w:rPr>
              <w:t>50万元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每次事故每人医疗费用责任限额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50万元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每次事故赔偿限额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4000万元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restart"/>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校方无过失责任险</w:t>
            </w:r>
          </w:p>
        </w:tc>
        <w:tc>
          <w:tcPr>
            <w:tcW w:w="4193" w:type="dxa"/>
            <w:noWrap w:val="0"/>
            <w:vAlign w:val="top"/>
          </w:tcPr>
          <w:p>
            <w:pPr>
              <w:adjustRightInd w:val="0"/>
              <w:spacing w:line="440" w:lineRule="exact"/>
              <w:jc w:val="center"/>
              <w:rPr>
                <w:rFonts w:hint="eastAsia" w:ascii="仿宋" w:hAnsi="仿宋" w:eastAsia="仿宋" w:cs="仿宋"/>
                <w:bCs/>
                <w:snapToGrid w:val="0"/>
                <w:color w:val="auto"/>
                <w:kern w:val="21"/>
                <w:sz w:val="24"/>
                <w:szCs w:val="24"/>
                <w:lang w:val="en-US" w:eastAsia="zh-CN" w:bidi="ar-SA"/>
              </w:rPr>
            </w:pPr>
            <w:r>
              <w:rPr>
                <w:rFonts w:hint="eastAsia" w:ascii="仿宋" w:hAnsi="仿宋" w:eastAsia="仿宋" w:cs="仿宋"/>
                <w:bCs/>
                <w:snapToGrid w:val="0"/>
                <w:color w:val="auto"/>
                <w:kern w:val="21"/>
                <w:sz w:val="24"/>
                <w:szCs w:val="24"/>
              </w:rPr>
              <w:t>每次事故每人责任限额</w:t>
            </w:r>
          </w:p>
        </w:tc>
        <w:tc>
          <w:tcPr>
            <w:tcW w:w="1999" w:type="dxa"/>
            <w:noWrap w:val="0"/>
            <w:vAlign w:val="center"/>
          </w:tcPr>
          <w:p>
            <w:pPr>
              <w:adjustRightInd w:val="0"/>
              <w:spacing w:line="440" w:lineRule="exact"/>
              <w:jc w:val="center"/>
              <w:rPr>
                <w:rFonts w:hint="eastAsia" w:ascii="仿宋" w:hAnsi="仿宋" w:eastAsia="仿宋" w:cs="仿宋"/>
                <w:bCs/>
                <w:snapToGrid w:val="0"/>
                <w:color w:val="auto"/>
                <w:kern w:val="21"/>
                <w:sz w:val="24"/>
                <w:szCs w:val="24"/>
                <w:lang w:val="en-US" w:eastAsia="zh-CN" w:bidi="ar-SA"/>
              </w:rPr>
            </w:pPr>
            <w:r>
              <w:rPr>
                <w:rFonts w:hint="eastAsia" w:ascii="仿宋" w:hAnsi="仿宋" w:eastAsia="仿宋" w:cs="仿宋"/>
                <w:bCs/>
                <w:snapToGrid w:val="0"/>
                <w:color w:val="auto"/>
                <w:kern w:val="21"/>
                <w:sz w:val="24"/>
                <w:szCs w:val="24"/>
              </w:rPr>
              <w:t>60万元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color w:val="auto"/>
                <w:kern w:val="21"/>
                <w:sz w:val="24"/>
                <w:szCs w:val="24"/>
              </w:rPr>
            </w:pPr>
            <w:r>
              <w:rPr>
                <w:rFonts w:hint="eastAsia" w:ascii="仿宋" w:hAnsi="仿宋" w:eastAsia="仿宋" w:cs="仿宋"/>
                <w:bCs/>
                <w:snapToGrid w:val="0"/>
                <w:color w:val="auto"/>
                <w:kern w:val="21"/>
                <w:sz w:val="24"/>
                <w:szCs w:val="24"/>
              </w:rPr>
              <w:t>每</w:t>
            </w:r>
            <w:r>
              <w:rPr>
                <w:rFonts w:hint="eastAsia" w:ascii="仿宋" w:hAnsi="仿宋" w:eastAsia="仿宋" w:cs="仿宋"/>
                <w:bCs/>
                <w:snapToGrid w:val="0"/>
                <w:color w:val="auto"/>
                <w:kern w:val="21"/>
                <w:sz w:val="24"/>
                <w:szCs w:val="24"/>
                <w:lang w:val="en-US" w:eastAsia="zh-CN"/>
              </w:rPr>
              <w:t>校累计责任限额</w:t>
            </w:r>
          </w:p>
        </w:tc>
        <w:tc>
          <w:tcPr>
            <w:tcW w:w="1999" w:type="dxa"/>
            <w:noWrap w:val="0"/>
            <w:vAlign w:val="center"/>
          </w:tcPr>
          <w:p>
            <w:pPr>
              <w:adjustRightInd w:val="0"/>
              <w:spacing w:line="440" w:lineRule="exact"/>
              <w:jc w:val="center"/>
              <w:rPr>
                <w:rFonts w:hint="eastAsia" w:ascii="仿宋" w:hAnsi="仿宋" w:eastAsia="仿宋" w:cs="仿宋"/>
                <w:bCs/>
                <w:snapToGrid w:val="0"/>
                <w:color w:val="auto"/>
                <w:kern w:val="21"/>
                <w:sz w:val="24"/>
                <w:szCs w:val="24"/>
              </w:rPr>
            </w:pPr>
            <w:r>
              <w:rPr>
                <w:rFonts w:hint="eastAsia" w:ascii="仿宋" w:hAnsi="仿宋" w:eastAsia="仿宋" w:cs="仿宋"/>
                <w:bCs/>
                <w:snapToGrid w:val="0"/>
                <w:color w:val="auto"/>
                <w:kern w:val="21"/>
                <w:sz w:val="24"/>
                <w:szCs w:val="24"/>
              </w:rPr>
              <w:t>500万元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第三者人身伤亡及非本校学生人身伤亡责任限额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30万元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每次事故每人非校方、非疾病原因救助限额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30万元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每校累计责任限额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500</w:t>
            </w:r>
            <w:r>
              <w:rPr>
                <w:rFonts w:hint="eastAsia" w:ascii="仿宋" w:hAnsi="仿宋" w:eastAsia="仿宋" w:cs="仿宋"/>
                <w:bCs/>
                <w:snapToGrid w:val="0"/>
                <w:kern w:val="21"/>
                <w:sz w:val="24"/>
                <w:szCs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每次事故每人非校方疾病死亡保障限额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lang w:val="en-US" w:eastAsia="zh-CN"/>
              </w:rPr>
              <w:t>10</w:t>
            </w:r>
            <w:r>
              <w:rPr>
                <w:rFonts w:hint="eastAsia" w:ascii="仿宋" w:hAnsi="仿宋" w:eastAsia="仿宋" w:cs="仿宋"/>
                <w:bCs/>
                <w:snapToGrid w:val="0"/>
                <w:kern w:val="21"/>
                <w:sz w:val="24"/>
                <w:szCs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每校累计责任限额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50万元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restart"/>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校方传染病责任险</w:t>
            </w: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rPr>
              <w:t>累计责任限额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rPr>
            </w:pPr>
            <w:r>
              <w:rPr>
                <w:rFonts w:hint="eastAsia" w:ascii="仿宋" w:hAnsi="仿宋" w:eastAsia="仿宋" w:cs="仿宋"/>
                <w:bCs/>
                <w:snapToGrid w:val="0"/>
                <w:kern w:val="21"/>
                <w:sz w:val="24"/>
                <w:szCs w:val="24"/>
                <w:lang w:val="en-US" w:eastAsia="zh-CN"/>
              </w:rPr>
              <w:t>3</w:t>
            </w:r>
            <w:r>
              <w:rPr>
                <w:rFonts w:hint="eastAsia" w:ascii="仿宋" w:hAnsi="仿宋" w:eastAsia="仿宋" w:cs="仿宋"/>
                <w:bCs/>
                <w:snapToGrid w:val="0"/>
                <w:kern w:val="21"/>
                <w:sz w:val="24"/>
                <w:szCs w:val="24"/>
              </w:rPr>
              <w:t>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每次事故每人责任限额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bidi="ar-SA"/>
              </w:rPr>
            </w:pPr>
            <w:r>
              <w:rPr>
                <w:rFonts w:hint="eastAsia" w:ascii="仿宋" w:hAnsi="仿宋" w:eastAsia="仿宋" w:cs="仿宋"/>
                <w:bCs/>
                <w:snapToGrid w:val="0"/>
                <w:kern w:val="21"/>
                <w:sz w:val="24"/>
                <w:szCs w:val="24"/>
              </w:rPr>
              <w:t>60万元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rPr>
              <w:t>每次事故传染病控制费用限额</w:t>
            </w:r>
          </w:p>
        </w:tc>
        <w:tc>
          <w:tcPr>
            <w:tcW w:w="1999"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rPr>
              <w:t>10万元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2330" w:type="dxa"/>
            <w:vMerge w:val="continue"/>
            <w:noWrap w:val="0"/>
            <w:vAlign w:val="center"/>
          </w:tcPr>
          <w:p>
            <w:pPr>
              <w:adjustRightInd w:val="0"/>
              <w:spacing w:line="440" w:lineRule="exact"/>
              <w:jc w:val="center"/>
              <w:rPr>
                <w:rFonts w:hint="eastAsia" w:ascii="仿宋" w:hAnsi="仿宋" w:eastAsia="仿宋" w:cs="仿宋"/>
                <w:bCs/>
                <w:snapToGrid w:val="0"/>
                <w:kern w:val="21"/>
                <w:sz w:val="24"/>
                <w:szCs w:val="24"/>
              </w:rPr>
            </w:pPr>
          </w:p>
        </w:tc>
        <w:tc>
          <w:tcPr>
            <w:tcW w:w="4193" w:type="dxa"/>
            <w:noWrap w:val="0"/>
            <w:vAlign w:val="top"/>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教职工医疗费用限额</w:t>
            </w:r>
          </w:p>
        </w:tc>
        <w:tc>
          <w:tcPr>
            <w:tcW w:w="1999" w:type="dxa"/>
            <w:noWrap w:val="0"/>
            <w:vAlign w:val="center"/>
          </w:tcPr>
          <w:p>
            <w:pPr>
              <w:adjustRightInd w:val="0"/>
              <w:spacing w:line="440" w:lineRule="exact"/>
              <w:jc w:val="center"/>
              <w:rPr>
                <w:rFonts w:hint="eastAsia" w:ascii="仿宋" w:hAnsi="仿宋" w:eastAsia="仿宋" w:cs="仿宋"/>
                <w:bCs/>
                <w:snapToGrid w:val="0"/>
                <w:kern w:val="21"/>
                <w:sz w:val="24"/>
                <w:szCs w:val="24"/>
                <w:lang w:val="en-US" w:eastAsia="zh-CN"/>
              </w:rPr>
            </w:pPr>
            <w:r>
              <w:rPr>
                <w:rFonts w:hint="eastAsia" w:ascii="仿宋" w:hAnsi="仿宋" w:eastAsia="仿宋" w:cs="仿宋"/>
                <w:bCs/>
                <w:snapToGrid w:val="0"/>
                <w:kern w:val="21"/>
                <w:sz w:val="24"/>
                <w:szCs w:val="24"/>
                <w:lang w:val="en-US" w:eastAsia="zh-CN"/>
              </w:rPr>
              <w:t>5万元</w:t>
            </w:r>
          </w:p>
        </w:tc>
      </w:tr>
    </w:tbl>
    <w:p>
      <w:pPr>
        <w:pStyle w:val="11"/>
        <w:shd w:val="clear" w:color="auto" w:fill="auto"/>
        <w:spacing w:line="360" w:lineRule="auto"/>
        <w:rPr>
          <w:rFonts w:hint="eastAsia" w:ascii="仿宋" w:hAnsi="仿宋" w:eastAsia="仿宋" w:cs="仿宋"/>
          <w:color w:val="auto"/>
          <w:sz w:val="24"/>
          <w:szCs w:val="24"/>
          <w:highlight w:val="none"/>
          <w:lang w:eastAsia="zh-CN"/>
        </w:rPr>
      </w:pPr>
    </w:p>
    <w:p>
      <w:p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br w:type="page"/>
      </w:r>
    </w:p>
    <w:p>
      <w:pPr>
        <w:pStyle w:val="11"/>
        <w:numPr>
          <w:ilvl w:val="0"/>
          <w:numId w:val="24"/>
        </w:numPr>
        <w:shd w:val="clear" w:color="auto" w:fill="auto"/>
        <w:spacing w:line="360" w:lineRule="auto"/>
        <w:rPr>
          <w:rFonts w:hint="eastAsia" w:ascii="仿宋" w:hAnsi="仿宋" w:eastAsia="仿宋" w:cs="仿宋"/>
          <w:sz w:val="24"/>
          <w:szCs w:val="24"/>
          <w:lang w:val="en-US" w:eastAsia="zh-CN"/>
        </w:rPr>
      </w:pPr>
      <w:r>
        <w:rPr>
          <w:rFonts w:hint="eastAsia" w:ascii="仿宋" w:hAnsi="仿宋" w:eastAsia="仿宋" w:cs="仿宋"/>
          <w:color w:val="000000"/>
          <w:kern w:val="0"/>
          <w:sz w:val="24"/>
          <w:szCs w:val="24"/>
          <w:lang w:val="en-US" w:eastAsia="zh-CN" w:bidi="ar"/>
        </w:rPr>
        <w:t>服务要求</w:t>
      </w:r>
    </w:p>
    <w:p>
      <w:pPr>
        <w:spacing w:line="360" w:lineRule="auto"/>
        <w:ind w:left="420" w:leftChars="200"/>
        <w:rPr>
          <w:rFonts w:hint="eastAsia" w:ascii="仿宋" w:hAnsi="仿宋" w:eastAsia="仿宋" w:cs="仿宋"/>
          <w:bCs/>
          <w:color w:val="auto"/>
          <w:sz w:val="24"/>
          <w:szCs w:val="24"/>
          <w:highlight w:val="none"/>
          <w:shd w:val="clear" w:color="auto" w:fill="FFFFFF"/>
        </w:rPr>
      </w:pPr>
      <w:r>
        <w:rPr>
          <w:rFonts w:hint="eastAsia" w:ascii="仿宋" w:hAnsi="仿宋" w:eastAsia="仿宋" w:cs="仿宋"/>
          <w:bCs/>
          <w:color w:val="auto"/>
          <w:sz w:val="24"/>
          <w:szCs w:val="24"/>
          <w:highlight w:val="none"/>
          <w:shd w:val="clear" w:color="auto" w:fill="FFFFFF"/>
        </w:rPr>
        <w:t xml:space="preserve">⑴ </w:t>
      </w:r>
      <w:r>
        <w:rPr>
          <w:rFonts w:hint="eastAsia" w:ascii="仿宋" w:hAnsi="仿宋" w:eastAsia="仿宋" w:cs="仿宋"/>
          <w:bCs/>
          <w:color w:val="auto"/>
          <w:sz w:val="24"/>
          <w:szCs w:val="24"/>
          <w:highlight w:val="none"/>
          <w:shd w:val="clear" w:color="auto" w:fill="FFFFFF"/>
          <w:lang w:eastAsia="zh-CN"/>
        </w:rPr>
        <w:t>投标人</w:t>
      </w:r>
      <w:r>
        <w:rPr>
          <w:rFonts w:hint="eastAsia" w:ascii="仿宋" w:hAnsi="仿宋" w:eastAsia="仿宋" w:cs="仿宋"/>
          <w:bCs/>
          <w:color w:val="auto"/>
          <w:sz w:val="24"/>
          <w:szCs w:val="24"/>
          <w:highlight w:val="none"/>
          <w:shd w:val="clear" w:color="auto" w:fill="FFFFFF"/>
        </w:rPr>
        <w:t>应制定科学合理的投保服务方案，配备业务熟悉、经验丰富的保险经纪人员，根据本项目采购需求为采购人办理投保手续，并提供风险咨询、风险培训等服务，同时就本项目建立专门的业务档案，实行专项管理，开展跟踪服务。</w:t>
      </w:r>
    </w:p>
    <w:p>
      <w:pPr>
        <w:spacing w:line="360" w:lineRule="auto"/>
        <w:ind w:left="420" w:leftChars="200"/>
        <w:rPr>
          <w:rFonts w:hint="eastAsia" w:ascii="仿宋" w:hAnsi="仿宋" w:eastAsia="仿宋" w:cs="仿宋"/>
          <w:bCs/>
          <w:color w:val="auto"/>
          <w:sz w:val="24"/>
          <w:szCs w:val="24"/>
          <w:highlight w:val="none"/>
          <w:shd w:val="clear" w:color="auto" w:fill="FFFFFF"/>
        </w:rPr>
      </w:pPr>
      <w:r>
        <w:rPr>
          <w:rFonts w:hint="eastAsia" w:ascii="仿宋" w:hAnsi="仿宋" w:eastAsia="仿宋" w:cs="仿宋"/>
          <w:bCs/>
          <w:color w:val="auto"/>
          <w:sz w:val="24"/>
          <w:szCs w:val="24"/>
          <w:highlight w:val="none"/>
          <w:shd w:val="clear" w:color="auto" w:fill="FFFFFF"/>
        </w:rPr>
        <w:t>⑵ 明确报案、现场查勘、定损、索赔资料提交、预付赔款、保险公估、赔款等方面的方法、流程、措施、规则、时效。）</w:t>
      </w:r>
    </w:p>
    <w:p>
      <w:pPr>
        <w:spacing w:line="360" w:lineRule="auto"/>
        <w:ind w:left="420" w:leftChars="200"/>
        <w:rPr>
          <w:rFonts w:hint="eastAsia" w:ascii="仿宋" w:hAnsi="仿宋" w:eastAsia="仿宋" w:cs="仿宋"/>
          <w:bCs/>
          <w:color w:val="auto"/>
          <w:sz w:val="24"/>
          <w:szCs w:val="24"/>
          <w:highlight w:val="none"/>
          <w:shd w:val="clear" w:color="auto" w:fill="FFFFFF"/>
        </w:rPr>
      </w:pPr>
      <w:r>
        <w:rPr>
          <w:rFonts w:hint="eastAsia" w:ascii="仿宋" w:hAnsi="仿宋" w:eastAsia="仿宋" w:cs="仿宋"/>
          <w:bCs/>
          <w:color w:val="auto"/>
          <w:sz w:val="24"/>
          <w:szCs w:val="24"/>
          <w:highlight w:val="none"/>
          <w:shd w:val="clear" w:color="auto" w:fill="FFFFFF"/>
        </w:rPr>
        <w:t>⑶ 理赔时效：</w:t>
      </w:r>
    </w:p>
    <w:p>
      <w:pPr>
        <w:numPr>
          <w:ilvl w:val="0"/>
          <w:numId w:val="25"/>
        </w:numPr>
        <w:spacing w:line="360" w:lineRule="auto"/>
        <w:ind w:left="0" w:firstLine="480" w:firstLineChars="200"/>
        <w:rPr>
          <w:rFonts w:hint="eastAsia" w:ascii="仿宋" w:hAnsi="仿宋" w:eastAsia="仿宋" w:cs="仿宋"/>
          <w:color w:val="auto"/>
          <w:sz w:val="24"/>
          <w:szCs w:val="24"/>
          <w:highlight w:val="none"/>
        </w:rPr>
      </w:pPr>
      <w:r>
        <w:rPr>
          <w:rFonts w:hint="eastAsia" w:ascii="仿宋" w:hAnsi="仿宋" w:eastAsia="仿宋" w:cs="仿宋"/>
          <w:bCs/>
          <w:color w:val="auto"/>
          <w:sz w:val="24"/>
          <w:szCs w:val="24"/>
          <w:highlight w:val="none"/>
          <w:shd w:val="clear" w:color="auto" w:fill="FFFFFF"/>
        </w:rPr>
        <w:t>在收到理赔所需的相关单证后，赔款支付时效不低于以下标准：</w:t>
      </w:r>
    </w:p>
    <w:p>
      <w:pPr>
        <w:rPr>
          <w:rFonts w:hint="eastAsia" w:ascii="仿宋" w:hAnsi="仿宋" w:eastAsia="仿宋" w:cs="仿宋"/>
          <w:color w:val="auto"/>
          <w:sz w:val="24"/>
          <w:szCs w:val="24"/>
          <w:highlight w:val="none"/>
        </w:rPr>
      </w:pP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9"/>
        <w:gridCol w:w="3465"/>
        <w:gridCol w:w="4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979"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序号</w:t>
            </w:r>
          </w:p>
        </w:tc>
        <w:tc>
          <w:tcPr>
            <w:tcW w:w="3465"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赔款金额</w:t>
            </w:r>
          </w:p>
        </w:tc>
        <w:tc>
          <w:tcPr>
            <w:tcW w:w="4800"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赔付时效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79"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3465"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赔款金额≤5000 元</w:t>
            </w:r>
          </w:p>
        </w:tc>
        <w:tc>
          <w:tcPr>
            <w:tcW w:w="4800"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5个工作日内支付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979"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p>
        </w:tc>
        <w:tc>
          <w:tcPr>
            <w:tcW w:w="3465"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5000 元＜赔款金额≤50000 元</w:t>
            </w:r>
          </w:p>
        </w:tc>
        <w:tc>
          <w:tcPr>
            <w:tcW w:w="4800"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7个工作日内支付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 w:hRule="atLeast"/>
          <w:jc w:val="center"/>
        </w:trPr>
        <w:tc>
          <w:tcPr>
            <w:tcW w:w="979"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p>
        </w:tc>
        <w:tc>
          <w:tcPr>
            <w:tcW w:w="3465"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50000 元＜赔款金额</w:t>
            </w:r>
          </w:p>
        </w:tc>
        <w:tc>
          <w:tcPr>
            <w:tcW w:w="4800" w:type="dxa"/>
            <w:shd w:val="clear" w:color="auto" w:fill="auto"/>
            <w:vAlign w:val="center"/>
          </w:tcPr>
          <w:p>
            <w:pPr>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10个工作日内支付</w:t>
            </w:r>
          </w:p>
        </w:tc>
      </w:tr>
    </w:tbl>
    <w:p>
      <w:pPr>
        <w:rPr>
          <w:rFonts w:hint="eastAsia" w:ascii="仿宋" w:hAnsi="仿宋" w:eastAsia="仿宋" w:cs="仿宋"/>
          <w:color w:val="auto"/>
          <w:sz w:val="24"/>
          <w:szCs w:val="24"/>
          <w:highlight w:val="none"/>
        </w:rPr>
      </w:pPr>
    </w:p>
    <w:p>
      <w:pPr>
        <w:numPr>
          <w:ilvl w:val="0"/>
          <w:numId w:val="25"/>
        </w:numPr>
        <w:spacing w:line="360" w:lineRule="auto"/>
        <w:ind w:left="0" w:firstLine="480" w:firstLineChars="200"/>
        <w:rPr>
          <w:rFonts w:hint="eastAsia" w:ascii="仿宋" w:hAnsi="仿宋" w:eastAsia="仿宋" w:cs="仿宋"/>
          <w:color w:val="auto"/>
          <w:sz w:val="24"/>
          <w:szCs w:val="24"/>
          <w:highlight w:val="none"/>
        </w:rPr>
      </w:pPr>
      <w:r>
        <w:rPr>
          <w:rFonts w:hint="eastAsia" w:ascii="仿宋" w:hAnsi="仿宋" w:eastAsia="仿宋" w:cs="仿宋"/>
          <w:bCs/>
          <w:color w:val="auto"/>
          <w:sz w:val="24"/>
          <w:szCs w:val="24"/>
          <w:highlight w:val="none"/>
          <w:shd w:val="clear" w:color="auto" w:fill="FFFFFF"/>
        </w:rPr>
        <w:t>小额案件免单证赔付：为最大程度地简化小额案件的理赔处理速度，提高工作效率，针对损失金额 25000 元以下案件，免纸质单，只需提供电子单即可赔付。</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Autospacing="0" w:line="500" w:lineRule="exact"/>
        <w:ind w:left="0" w:right="0" w:firstLine="480" w:firstLineChars="200"/>
        <w:jc w:val="left"/>
        <w:textAlignment w:val="auto"/>
        <w:rPr>
          <w:rFonts w:hint="eastAsia" w:ascii="仿宋" w:hAnsi="仿宋" w:eastAsia="仿宋" w:cs="仿宋"/>
          <w:caps w:val="0"/>
          <w:smallCaps w:val="0"/>
          <w:sz w:val="24"/>
          <w:szCs w:val="24"/>
          <w:highlight w:val="none"/>
        </w:rPr>
      </w:pPr>
      <w:r>
        <w:rPr>
          <w:rFonts w:hint="eastAsia" w:ascii="仿宋" w:hAnsi="仿宋" w:eastAsia="仿宋" w:cs="仿宋"/>
          <w:bCs/>
          <w:color w:val="auto"/>
          <w:sz w:val="24"/>
          <w:szCs w:val="24"/>
          <w:highlight w:val="none"/>
          <w:shd w:val="clear" w:color="auto" w:fill="FFFFFF"/>
        </w:rPr>
        <w:t>提供预付赔款，如发生保险事故，在在保险责任明确但最终损失金额尚不能确定的情况下，乙方将提供 50％的预付赔款，以帮助困难学生得到及时救治。</w:t>
      </w:r>
    </w:p>
    <w:p>
      <w:pPr>
        <w:keepNext w:val="0"/>
        <w:keepLines w:val="0"/>
        <w:widowControl/>
        <w:suppressLineNumbers w:val="0"/>
        <w:jc w:val="left"/>
        <w:rPr>
          <w:rFonts w:hint="eastAsia" w:ascii="仿宋" w:hAnsi="仿宋" w:eastAsia="仿宋" w:cs="仿宋"/>
          <w:b/>
          <w:bCs/>
          <w:color w:val="000000"/>
          <w:kern w:val="0"/>
          <w:sz w:val="28"/>
          <w:szCs w:val="28"/>
          <w:lang w:val="en-US" w:eastAsia="zh-CN" w:bidi="ar"/>
        </w:rPr>
      </w:pPr>
      <w:bookmarkStart w:id="373" w:name="_Toc13335"/>
      <w:r>
        <w:rPr>
          <w:rFonts w:hint="eastAsia" w:ascii="仿宋" w:hAnsi="仿宋" w:eastAsia="仿宋" w:cs="仿宋"/>
          <w:b/>
          <w:bCs/>
          <w:color w:val="000000"/>
          <w:kern w:val="0"/>
          <w:sz w:val="28"/>
          <w:szCs w:val="28"/>
          <w:lang w:val="en-US" w:eastAsia="zh-CN" w:bidi="ar"/>
        </w:rPr>
        <w:t>三、其他技术、服务等要求</w:t>
      </w:r>
      <w:bookmarkEnd w:id="373"/>
    </w:p>
    <w:p>
      <w:pPr>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⑴ 保险责任无纯疾病医疗责任。</w:t>
      </w:r>
    </w:p>
    <w:p>
      <w:pPr>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⑵ 学生责任范围内的伤亡事故造成的随身财产损失责任（有发票等证明材料并经公安机关等相关机构确认）。</w:t>
      </w:r>
    </w:p>
    <w:p>
      <w:pPr>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⑶ 校方仅以投保时在册学生人数投保，承保期间内入学的新生及休学、学籍恢复、学籍转入的学生纳入承保范围，毕业离校的学生自离校手续办结之日起不再承保；承保期间内，若因其它原因致使学生人数增加的，学生增加5%％内免费承保。</w:t>
      </w:r>
    </w:p>
    <w:p>
      <w:pPr>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 xml:space="preserve">⑷ 跨校交流学生免费承保，赔偿标准以本项目所在地为准。 </w:t>
      </w:r>
    </w:p>
    <w:p>
      <w:pPr>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 xml:space="preserve">⑸ 对在校生的赔偿金不区分户籍，一律以城镇居民年人均可支配收入为基准计算。 </w:t>
      </w:r>
    </w:p>
    <w:p>
      <w:pPr>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⑹ 校方无过失责任保险扩展承保以下内容：在保险期间内，投保学校注册学生在校外发生意外事故导致其遭受人身伤亡，依照法院判决或由学校上级主管部门确定应由被保险人承担的经济补偿责任，保险人在每次事故每人补偿金责任限额内负责赔偿。在保险期间内，在投保学校负责管理的范围内由于注册学生的过错造成第三者的人身伤亡，依照法院判决或由学校上级主管部门确定应由被保险人承担的经济补偿责任，保险人在第三者人身伤亡及非本校学生人身伤亡责任限额内负责赔偿。在保险期间内，在投保学校负责管理范围内，由于投保学校的疏忽或过失造成非本校的学生人身伤亡依照法院判决或由学校上级主管部门确定应由被保险人承担的经济补偿责任，保险人在第三者人身伤亡及非本校学生人身伤亡责任限额内负责赔偿。在保险期间内，非校（园）内或校方组织活动中学生因非疾病原因死亡或残疾的，依照法院判决或由学校上级主管部门商定应由被保险人承担的经济补偿责任，给予死亡学生家庭经济上的补偿，保险人在每次事故每人非校方、非疾病原因救助限额内负责赔偿。在保险期间内，在被保险人管理范围内注册学生因医病死亡，如该生家庭困难，依照法院判决或由学校上级主管部门确定应由被保险人承担的经济补偿责任，保险人在每次事故每人非校方原因疾病死亡保障限额内给予赔付。</w:t>
      </w:r>
    </w:p>
    <w:p>
      <w:pPr>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⑺</w:t>
      </w:r>
      <w:r>
        <w:rPr>
          <w:rFonts w:hint="eastAsia" w:ascii="仿宋" w:hAnsi="仿宋" w:eastAsia="仿宋" w:cs="仿宋"/>
          <w:sz w:val="24"/>
          <w:szCs w:val="24"/>
          <w:highlight w:val="none"/>
          <w:lang w:val="en-US" w:eastAsia="zh-CN"/>
        </w:rPr>
        <w:t xml:space="preserve"> </w:t>
      </w:r>
      <w:r>
        <w:rPr>
          <w:rFonts w:hint="eastAsia" w:ascii="仿宋" w:hAnsi="仿宋" w:eastAsia="仿宋" w:cs="仿宋"/>
          <w:sz w:val="24"/>
          <w:szCs w:val="24"/>
          <w:highlight w:val="none"/>
        </w:rPr>
        <w:t>校方只提供具体参保学生的数量，不提供具体的学生名册。</w:t>
      </w:r>
    </w:p>
    <w:p>
      <w:pPr>
        <w:spacing w:line="400" w:lineRule="exact"/>
        <w:ind w:firstLine="240" w:firstLineChars="100"/>
        <w:outlineLvl w:val="9"/>
        <w:rPr>
          <w:rFonts w:hint="eastAsia" w:ascii="仿宋" w:hAnsi="仿宋" w:eastAsia="仿宋" w:cs="仿宋"/>
          <w:color w:val="auto"/>
          <w:sz w:val="52"/>
          <w:szCs w:val="32"/>
          <w:highlight w:val="none"/>
        </w:rPr>
      </w:pPr>
      <w:r>
        <w:rPr>
          <w:rFonts w:hint="eastAsia" w:ascii="仿宋" w:hAnsi="仿宋" w:eastAsia="仿宋" w:cs="仿宋"/>
          <w:sz w:val="24"/>
          <w:szCs w:val="24"/>
          <w:highlight w:val="none"/>
        </w:rPr>
        <w:t>⑻ 签订保险合同时，将上述条款列入“特定条款”部分。</w:t>
      </w:r>
    </w:p>
    <w:p>
      <w:pPr>
        <w:rPr>
          <w:rFonts w:hint="eastAsia" w:ascii="仿宋" w:hAnsi="仿宋" w:eastAsia="仿宋" w:cs="仿宋"/>
          <w:b/>
          <w:bCs/>
          <w:color w:val="auto"/>
          <w:kern w:val="0"/>
          <w:sz w:val="52"/>
          <w:szCs w:val="32"/>
          <w:highlight w:val="none"/>
          <w:lang w:val="en-US" w:eastAsia="zh-CN" w:bidi="ar-SA"/>
        </w:rPr>
      </w:pPr>
      <w:r>
        <w:rPr>
          <w:rFonts w:hint="eastAsia" w:ascii="仿宋" w:hAnsi="仿宋" w:eastAsia="仿宋" w:cs="仿宋"/>
          <w:b/>
          <w:bCs/>
          <w:color w:val="auto"/>
          <w:kern w:val="0"/>
          <w:sz w:val="52"/>
          <w:szCs w:val="32"/>
          <w:highlight w:val="none"/>
          <w:lang w:val="en-US" w:eastAsia="zh-CN" w:bidi="ar-SA"/>
        </w:rPr>
        <w:br w:type="page"/>
      </w:r>
    </w:p>
    <w:p>
      <w:pPr>
        <w:pStyle w:val="2"/>
        <w:numPr>
          <w:ilvl w:val="0"/>
          <w:numId w:val="0"/>
        </w:numPr>
        <w:ind w:left="-284" w:leftChars="0" w:hanging="284" w:firstLineChars="0"/>
        <w:jc w:val="center"/>
        <w:rPr>
          <w:rFonts w:hint="eastAsia" w:ascii="仿宋" w:hAnsi="仿宋" w:eastAsia="仿宋" w:cs="仿宋"/>
          <w:color w:val="auto"/>
          <w:sz w:val="52"/>
          <w:szCs w:val="32"/>
          <w:highlight w:val="none"/>
        </w:rPr>
      </w:pPr>
      <w:bookmarkStart w:id="374" w:name="_Toc29063"/>
      <w:r>
        <w:rPr>
          <w:rFonts w:hint="eastAsia" w:ascii="仿宋" w:hAnsi="仿宋" w:eastAsia="仿宋" w:cs="仿宋"/>
          <w:b/>
          <w:bCs/>
          <w:color w:val="auto"/>
          <w:kern w:val="0"/>
          <w:sz w:val="52"/>
          <w:szCs w:val="32"/>
          <w:highlight w:val="none"/>
          <w:lang w:val="en-US" w:eastAsia="zh-CN" w:bidi="ar-SA"/>
        </w:rPr>
        <w:t>第五章</w:t>
      </w:r>
      <w:r>
        <w:rPr>
          <w:rFonts w:hint="eastAsia" w:ascii="仿宋" w:hAnsi="仿宋" w:eastAsia="仿宋" w:cs="仿宋"/>
          <w:color w:val="auto"/>
          <w:sz w:val="52"/>
          <w:szCs w:val="32"/>
          <w:highlight w:val="none"/>
        </w:rPr>
        <w:t xml:space="preserve"> </w:t>
      </w:r>
      <w:bookmarkEnd w:id="368"/>
      <w:bookmarkEnd w:id="369"/>
      <w:bookmarkEnd w:id="370"/>
      <w:bookmarkEnd w:id="371"/>
      <w:bookmarkEnd w:id="372"/>
      <w:bookmarkStart w:id="375" w:name="_Toc10172"/>
      <w:r>
        <w:rPr>
          <w:rFonts w:hint="eastAsia" w:ascii="仿宋" w:hAnsi="仿宋" w:eastAsia="仿宋" w:cs="仿宋"/>
          <w:color w:val="auto"/>
          <w:sz w:val="52"/>
          <w:szCs w:val="32"/>
          <w:highlight w:val="none"/>
        </w:rPr>
        <w:t>评审办法</w:t>
      </w:r>
      <w:bookmarkEnd w:id="374"/>
      <w:bookmarkEnd w:id="375"/>
    </w:p>
    <w:p>
      <w:pPr>
        <w:pStyle w:val="3"/>
        <w:numPr>
          <w:ilvl w:val="0"/>
          <w:numId w:val="0"/>
        </w:numPr>
        <w:spacing w:before="0"/>
        <w:ind w:left="425"/>
        <w:rPr>
          <w:rFonts w:hint="eastAsia" w:ascii="仿宋" w:hAnsi="仿宋" w:eastAsia="仿宋" w:cs="仿宋"/>
          <w:color w:val="auto"/>
          <w:szCs w:val="28"/>
          <w:highlight w:val="none"/>
        </w:rPr>
      </w:pPr>
      <w:bookmarkStart w:id="376" w:name="_Toc19178"/>
      <w:bookmarkStart w:id="377" w:name="_Toc5357"/>
      <w:bookmarkStart w:id="378" w:name="_Toc2779"/>
      <w:bookmarkStart w:id="379" w:name="_Toc12780"/>
      <w:bookmarkStart w:id="380" w:name="_Toc11917"/>
      <w:bookmarkStart w:id="381" w:name="_Toc4845"/>
      <w:bookmarkStart w:id="382" w:name="_Toc19197"/>
      <w:bookmarkStart w:id="383" w:name="_Toc15056"/>
      <w:r>
        <w:rPr>
          <w:rFonts w:hint="eastAsia" w:ascii="仿宋" w:hAnsi="仿宋" w:eastAsia="仿宋" w:cs="仿宋"/>
          <w:color w:val="auto"/>
          <w:szCs w:val="28"/>
          <w:highlight w:val="none"/>
        </w:rPr>
        <w:t>评审程序和方法前附表</w:t>
      </w:r>
      <w:bookmarkEnd w:id="376"/>
      <w:bookmarkEnd w:id="377"/>
      <w:bookmarkEnd w:id="378"/>
      <w:bookmarkEnd w:id="379"/>
      <w:bookmarkEnd w:id="380"/>
      <w:bookmarkEnd w:id="381"/>
      <w:bookmarkEnd w:id="382"/>
      <w:bookmarkEnd w:id="383"/>
    </w:p>
    <w:tbl>
      <w:tblPr>
        <w:tblStyle w:val="38"/>
        <w:tblpPr w:leftFromText="180" w:rightFromText="180" w:vertAnchor="text" w:horzAnchor="page" w:tblpX="1103" w:tblpY="745"/>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1345"/>
        <w:gridCol w:w="1563"/>
        <w:gridCol w:w="70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blHeader/>
        </w:trPr>
        <w:tc>
          <w:tcPr>
            <w:tcW w:w="1345"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条款号</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审 查 内 容</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审 查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vMerge w:val="restart"/>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2.1</w:t>
            </w:r>
            <w:r>
              <w:rPr>
                <w:rFonts w:hint="eastAsia" w:ascii="仿宋" w:hAnsi="仿宋" w:eastAsia="仿宋" w:cs="仿宋"/>
                <w:color w:val="auto"/>
                <w:sz w:val="21"/>
                <w:szCs w:val="21"/>
                <w:highlight w:val="none"/>
              </w:rPr>
              <w:t>实质性要求审查标准</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资格条件</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符合第二章“投标人须知”第4.1项规定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投标人单位名称</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与营业执照一致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法定代表人身份证明书</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符合比选文件规定格式及内容，并盖单位公章；响应文件正本中法定代表人身份证明书为原件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639" w:hRule="atLeast"/>
        </w:trPr>
        <w:tc>
          <w:tcPr>
            <w:tcW w:w="1345"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法定代表人授权委托书</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有法定代表人及其委托代理人签字或盖章，并盖单位公章；符合比选文件规定格式及内容；响应</w:t>
            </w:r>
            <w:r>
              <w:rPr>
                <w:rFonts w:hint="eastAsia" w:ascii="仿宋" w:hAnsi="仿宋" w:eastAsia="仿宋" w:cs="仿宋"/>
                <w:color w:val="auto"/>
                <w:sz w:val="21"/>
                <w:szCs w:val="21"/>
                <w:highlight w:val="none"/>
                <w:lang w:val="en-US" w:eastAsia="zh-CN"/>
              </w:rPr>
              <w:t>文件</w:t>
            </w:r>
            <w:r>
              <w:rPr>
                <w:rFonts w:hint="eastAsia" w:ascii="仿宋" w:hAnsi="仿宋" w:eastAsia="仿宋" w:cs="仿宋"/>
                <w:color w:val="auto"/>
                <w:sz w:val="21"/>
                <w:szCs w:val="21"/>
                <w:highlight w:val="none"/>
              </w:rPr>
              <w:t>正本中法定代表人授权委托书为原件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响应文件签署、盖章</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响应文件按比选文件要求签署、盖章的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比选有效期</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符合第二章“投标人须知”</w:t>
            </w: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rPr>
              <w:t>.1项规定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响应文件的编制</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符合比选文件格式及资料提供的要求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其它实质性要求</w:t>
            </w:r>
          </w:p>
        </w:tc>
        <w:tc>
          <w:tcPr>
            <w:tcW w:w="7012" w:type="dxa"/>
            <w:vAlign w:val="center"/>
          </w:tcPr>
          <w:p>
            <w:pPr>
              <w:keepNext w:val="0"/>
              <w:keepLines w:val="0"/>
              <w:pageBreakBefore w:val="0"/>
              <w:widowControl w:val="0"/>
              <w:numPr>
                <w:ilvl w:val="0"/>
                <w:numId w:val="26"/>
              </w:num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b/>
                <w:bCs/>
                <w:color w:val="auto"/>
                <w:sz w:val="21"/>
                <w:szCs w:val="21"/>
                <w:highlight w:val="none"/>
              </w:rPr>
              <w:t>实质性响应比选文件中★号条款；</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（2）响应文件未含有招标人不能接受的附加条件；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（3）无法律、法规和比选文件规定的其他无效情形。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无串通投标情形</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(1)不同投标人的响应文件由同一单位或者个人编制；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(2)不同投标人委托同一单位或者个人办理投标事宜；</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(3)不同投标人的响应文件载明的项目管理成员或者联系人员为同一人；</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(4)不同投标人的响应文件异常一致或者报价呈规律性差异；</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(5)不同投标人的响应文件相互混装；</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(6)不同投标人的比选保证金从同一单位或者个人的账户转出。</w:t>
            </w:r>
          </w:p>
        </w:tc>
      </w:tr>
    </w:tbl>
    <w:p>
      <w:pPr>
        <w:pStyle w:val="3"/>
        <w:numPr>
          <w:ilvl w:val="1"/>
          <w:numId w:val="0"/>
        </w:numPr>
        <w:ind w:leftChars="0"/>
        <w:jc w:val="center"/>
        <w:rPr>
          <w:rFonts w:hint="eastAsia" w:ascii="仿宋" w:hAnsi="仿宋" w:eastAsia="仿宋" w:cs="仿宋"/>
          <w:lang w:val="en-US" w:eastAsia="zh-CN"/>
        </w:rPr>
      </w:pPr>
      <w:bookmarkStart w:id="384" w:name="_Toc23864"/>
      <w:bookmarkStart w:id="385" w:name="_Toc263"/>
      <w:bookmarkStart w:id="386" w:name="_Toc17382"/>
      <w:bookmarkStart w:id="387" w:name="_Toc28653"/>
      <w:bookmarkStart w:id="388" w:name="_Toc22147"/>
      <w:bookmarkStart w:id="389" w:name="_Toc6874"/>
      <w:bookmarkStart w:id="390" w:name="_Toc18299"/>
      <w:bookmarkStart w:id="391" w:name="_Toc30498"/>
      <w:r>
        <w:rPr>
          <w:rFonts w:hint="eastAsia" w:ascii="仿宋" w:hAnsi="仿宋" w:eastAsia="仿宋" w:cs="仿宋"/>
          <w:lang w:val="en-US" w:eastAsia="zh-CN"/>
        </w:rPr>
        <w:t>评分标准</w:t>
      </w:r>
      <w:bookmarkEnd w:id="384"/>
    </w:p>
    <w:p>
      <w:pPr>
        <w:jc w:val="center"/>
        <w:rPr>
          <w:rFonts w:hint="eastAsia" w:ascii="仿宋" w:hAnsi="仿宋" w:eastAsia="仿宋" w:cs="仿宋"/>
          <w:szCs w:val="21"/>
        </w:rPr>
      </w:pPr>
      <w:r>
        <w:rPr>
          <w:rFonts w:hint="eastAsia" w:ascii="仿宋" w:hAnsi="仿宋" w:eastAsia="仿宋" w:cs="仿宋"/>
          <w:szCs w:val="21"/>
        </w:rPr>
        <w:br w:type="page"/>
      </w:r>
    </w:p>
    <w:tbl>
      <w:tblPr>
        <w:tblStyle w:val="38"/>
        <w:tblW w:w="98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4"/>
        <w:gridCol w:w="850"/>
        <w:gridCol w:w="1985"/>
        <w:gridCol w:w="62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5" w:hRule="exact"/>
          <w:jc w:val="center"/>
        </w:trPr>
        <w:tc>
          <w:tcPr>
            <w:tcW w:w="824" w:type="dxa"/>
            <w:vMerge w:val="restart"/>
            <w:vAlign w:val="center"/>
          </w:tcPr>
          <w:p>
            <w:pPr>
              <w:jc w:val="center"/>
              <w:rPr>
                <w:rFonts w:hint="eastAsia" w:ascii="仿宋" w:hAnsi="仿宋" w:eastAsia="仿宋" w:cs="仿宋"/>
                <w:szCs w:val="21"/>
              </w:rPr>
            </w:pPr>
            <w:r>
              <w:rPr>
                <w:rFonts w:hint="eastAsia" w:ascii="仿宋" w:hAnsi="仿宋" w:eastAsia="仿宋" w:cs="仿宋"/>
                <w:szCs w:val="21"/>
              </w:rPr>
              <w:t>7.2</w:t>
            </w:r>
          </w:p>
        </w:tc>
        <w:tc>
          <w:tcPr>
            <w:tcW w:w="850" w:type="dxa"/>
            <w:vMerge w:val="restart"/>
            <w:vAlign w:val="center"/>
          </w:tcPr>
          <w:p>
            <w:pPr>
              <w:rPr>
                <w:rFonts w:hint="eastAsia" w:ascii="仿宋" w:hAnsi="仿宋" w:eastAsia="仿宋" w:cs="仿宋"/>
                <w:szCs w:val="21"/>
              </w:rPr>
            </w:pPr>
            <w:r>
              <w:rPr>
                <w:rFonts w:hint="eastAsia" w:ascii="仿宋" w:hAnsi="仿宋" w:eastAsia="仿宋" w:cs="仿宋"/>
                <w:szCs w:val="21"/>
              </w:rPr>
              <w:t>综合评审标准</w:t>
            </w:r>
          </w:p>
        </w:tc>
        <w:tc>
          <w:tcPr>
            <w:tcW w:w="1985" w:type="dxa"/>
            <w:vAlign w:val="center"/>
          </w:tcPr>
          <w:p>
            <w:pPr>
              <w:jc w:val="center"/>
              <w:rPr>
                <w:rFonts w:hint="eastAsia" w:ascii="仿宋" w:hAnsi="仿宋" w:eastAsia="仿宋" w:cs="仿宋"/>
                <w:szCs w:val="21"/>
              </w:rPr>
            </w:pPr>
            <w:r>
              <w:rPr>
                <w:rFonts w:hint="eastAsia" w:ascii="仿宋" w:hAnsi="仿宋" w:eastAsia="仿宋" w:cs="仿宋"/>
                <w:szCs w:val="21"/>
              </w:rPr>
              <w:t>1）评标总得分计算公式</w:t>
            </w:r>
          </w:p>
        </w:tc>
        <w:tc>
          <w:tcPr>
            <w:tcW w:w="6208" w:type="dxa"/>
            <w:vAlign w:val="center"/>
          </w:tcPr>
          <w:p>
            <w:pPr>
              <w:rPr>
                <w:rFonts w:hint="eastAsia" w:ascii="仿宋" w:hAnsi="仿宋" w:eastAsia="仿宋" w:cs="仿宋"/>
                <w:szCs w:val="21"/>
              </w:rPr>
            </w:pPr>
            <w:r>
              <w:rPr>
                <w:rFonts w:hint="eastAsia" w:ascii="仿宋" w:hAnsi="仿宋" w:eastAsia="仿宋" w:cs="仿宋"/>
                <w:szCs w:val="21"/>
              </w:rPr>
              <w:t>投标人的评标总得分＝</w:t>
            </w:r>
            <w:r>
              <w:rPr>
                <w:rFonts w:hint="eastAsia" w:ascii="仿宋" w:hAnsi="仿宋" w:eastAsia="仿宋" w:cs="仿宋"/>
                <w:szCs w:val="21"/>
                <w:lang w:val="en-US" w:eastAsia="zh-CN"/>
              </w:rPr>
              <w:t>技术部分</w:t>
            </w:r>
            <w:r>
              <w:rPr>
                <w:rFonts w:hint="eastAsia" w:ascii="仿宋" w:hAnsi="仿宋" w:eastAsia="仿宋" w:cs="仿宋"/>
                <w:szCs w:val="21"/>
              </w:rPr>
              <w:t>＋</w:t>
            </w:r>
            <w:r>
              <w:rPr>
                <w:rFonts w:hint="eastAsia" w:ascii="仿宋" w:hAnsi="仿宋" w:eastAsia="仿宋" w:cs="仿宋"/>
                <w:szCs w:val="21"/>
                <w:lang w:val="en-US" w:eastAsia="zh-CN"/>
              </w:rPr>
              <w:t>服务部分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0" w:hRule="exact"/>
          <w:jc w:val="center"/>
        </w:trPr>
        <w:tc>
          <w:tcPr>
            <w:tcW w:w="824" w:type="dxa"/>
            <w:vMerge w:val="continue"/>
            <w:vAlign w:val="center"/>
          </w:tcPr>
          <w:p>
            <w:pPr>
              <w:rPr>
                <w:rFonts w:hint="eastAsia" w:ascii="仿宋" w:hAnsi="仿宋" w:eastAsia="仿宋" w:cs="仿宋"/>
                <w:szCs w:val="21"/>
              </w:rPr>
            </w:pPr>
          </w:p>
        </w:tc>
        <w:tc>
          <w:tcPr>
            <w:tcW w:w="850" w:type="dxa"/>
            <w:vMerge w:val="continue"/>
            <w:vAlign w:val="center"/>
          </w:tcPr>
          <w:p>
            <w:pPr>
              <w:rPr>
                <w:rFonts w:hint="eastAsia" w:ascii="仿宋" w:hAnsi="仿宋" w:eastAsia="仿宋" w:cs="仿宋"/>
                <w:szCs w:val="21"/>
              </w:rPr>
            </w:pPr>
          </w:p>
        </w:tc>
        <w:tc>
          <w:tcPr>
            <w:tcW w:w="1985" w:type="dxa"/>
            <w:vAlign w:val="center"/>
          </w:tcPr>
          <w:p>
            <w:pPr>
              <w:rPr>
                <w:rFonts w:hint="eastAsia" w:ascii="仿宋" w:hAnsi="仿宋" w:eastAsia="仿宋" w:cs="仿宋"/>
                <w:szCs w:val="21"/>
                <w:highlight w:val="none"/>
              </w:rPr>
            </w:pPr>
            <w:r>
              <w:rPr>
                <w:rFonts w:hint="eastAsia" w:ascii="仿宋" w:hAnsi="仿宋" w:eastAsia="仿宋" w:cs="仿宋"/>
                <w:szCs w:val="21"/>
                <w:highlight w:val="none"/>
              </w:rPr>
              <w:t>2）评分因素权重</w:t>
            </w:r>
          </w:p>
        </w:tc>
        <w:tc>
          <w:tcPr>
            <w:tcW w:w="6208" w:type="dxa"/>
            <w:vAlign w:val="center"/>
          </w:tcPr>
          <w:p>
            <w:pPr>
              <w:rPr>
                <w:rFonts w:hint="eastAsia" w:ascii="仿宋" w:hAnsi="仿宋" w:eastAsia="仿宋" w:cs="仿宋"/>
                <w:szCs w:val="21"/>
                <w:highlight w:val="none"/>
              </w:rPr>
            </w:pPr>
            <w:r>
              <w:rPr>
                <w:rFonts w:hint="eastAsia" w:ascii="仿宋" w:hAnsi="仿宋" w:eastAsia="仿宋" w:cs="仿宋"/>
                <w:szCs w:val="21"/>
                <w:highlight w:val="none"/>
              </w:rPr>
              <w:t>技术部分</w:t>
            </w:r>
            <w:r>
              <w:rPr>
                <w:rFonts w:hint="eastAsia" w:ascii="仿宋" w:hAnsi="仿宋" w:eastAsia="仿宋" w:cs="仿宋"/>
                <w:szCs w:val="21"/>
                <w:highlight w:val="none"/>
                <w:lang w:val="en-US" w:eastAsia="zh-CN"/>
              </w:rPr>
              <w:t xml:space="preserve"> </w:t>
            </w:r>
            <w:r>
              <w:rPr>
                <w:rFonts w:hint="eastAsia" w:ascii="仿宋" w:hAnsi="仿宋" w:eastAsia="仿宋" w:cs="仿宋"/>
                <w:szCs w:val="21"/>
                <w:highlight w:val="none"/>
              </w:rPr>
              <w:t>：</w:t>
            </w:r>
            <w:r>
              <w:rPr>
                <w:rFonts w:hint="eastAsia" w:ascii="仿宋" w:hAnsi="仿宋" w:eastAsia="仿宋" w:cs="仿宋"/>
                <w:szCs w:val="21"/>
                <w:highlight w:val="none"/>
                <w:lang w:val="en-US" w:eastAsia="zh-CN"/>
              </w:rPr>
              <w:t>55</w:t>
            </w:r>
            <w:r>
              <w:rPr>
                <w:rFonts w:hint="eastAsia" w:ascii="仿宋" w:hAnsi="仿宋" w:eastAsia="仿宋" w:cs="仿宋"/>
                <w:szCs w:val="21"/>
                <w:highlight w:val="none"/>
              </w:rPr>
              <w:t>分。</w:t>
            </w:r>
          </w:p>
          <w:p>
            <w:pPr>
              <w:rPr>
                <w:rFonts w:hint="eastAsia" w:ascii="仿宋" w:hAnsi="仿宋" w:eastAsia="仿宋" w:cs="仿宋"/>
                <w:szCs w:val="21"/>
                <w:highlight w:val="none"/>
              </w:rPr>
            </w:pPr>
            <w:r>
              <w:rPr>
                <w:rFonts w:hint="eastAsia" w:ascii="仿宋" w:hAnsi="仿宋" w:eastAsia="仿宋" w:cs="仿宋"/>
                <w:szCs w:val="21"/>
                <w:highlight w:val="none"/>
                <w:lang w:eastAsia="zh-CN"/>
              </w:rPr>
              <w:t>服务部分</w:t>
            </w:r>
            <w:r>
              <w:rPr>
                <w:rFonts w:hint="eastAsia" w:ascii="仿宋" w:hAnsi="仿宋" w:eastAsia="仿宋" w:cs="仿宋"/>
                <w:szCs w:val="21"/>
                <w:highlight w:val="none"/>
                <w:lang w:val="en-US" w:eastAsia="zh-CN"/>
              </w:rPr>
              <w:t xml:space="preserve"> </w:t>
            </w:r>
            <w:r>
              <w:rPr>
                <w:rFonts w:hint="eastAsia" w:ascii="仿宋" w:hAnsi="仿宋" w:eastAsia="仿宋" w:cs="仿宋"/>
                <w:szCs w:val="21"/>
                <w:highlight w:val="none"/>
              </w:rPr>
              <w:t>：</w:t>
            </w:r>
            <w:r>
              <w:rPr>
                <w:rFonts w:hint="eastAsia" w:ascii="仿宋" w:hAnsi="仿宋" w:eastAsia="仿宋" w:cs="仿宋"/>
                <w:szCs w:val="21"/>
                <w:highlight w:val="none"/>
                <w:lang w:val="en-US" w:eastAsia="zh-CN"/>
              </w:rPr>
              <w:t>45</w:t>
            </w:r>
            <w:r>
              <w:rPr>
                <w:rFonts w:hint="eastAsia" w:ascii="仿宋" w:hAnsi="仿宋" w:eastAsia="仿宋" w:cs="仿宋"/>
                <w:szCs w:val="21"/>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9" w:hRule="atLeast"/>
          <w:jc w:val="center"/>
        </w:trPr>
        <w:tc>
          <w:tcPr>
            <w:tcW w:w="824" w:type="dxa"/>
            <w:vMerge w:val="continue"/>
            <w:vAlign w:val="center"/>
          </w:tcPr>
          <w:p>
            <w:pPr>
              <w:rPr>
                <w:rFonts w:hint="eastAsia" w:ascii="仿宋" w:hAnsi="仿宋" w:eastAsia="仿宋" w:cs="仿宋"/>
                <w:szCs w:val="21"/>
              </w:rPr>
            </w:pPr>
          </w:p>
        </w:tc>
        <w:tc>
          <w:tcPr>
            <w:tcW w:w="850" w:type="dxa"/>
            <w:vMerge w:val="continue"/>
            <w:vAlign w:val="center"/>
          </w:tcPr>
          <w:p>
            <w:pPr>
              <w:rPr>
                <w:rFonts w:hint="eastAsia" w:ascii="仿宋" w:hAnsi="仿宋" w:eastAsia="仿宋" w:cs="仿宋"/>
                <w:szCs w:val="21"/>
              </w:rPr>
            </w:pPr>
          </w:p>
        </w:tc>
        <w:tc>
          <w:tcPr>
            <w:tcW w:w="1985" w:type="dxa"/>
            <w:vAlign w:val="center"/>
          </w:tcPr>
          <w:p>
            <w:pPr>
              <w:spacing w:line="300" w:lineRule="exact"/>
              <w:jc w:val="center"/>
              <w:rPr>
                <w:rFonts w:hint="eastAsia" w:ascii="仿宋" w:hAnsi="仿宋" w:eastAsia="仿宋" w:cs="仿宋"/>
                <w:szCs w:val="21"/>
              </w:rPr>
            </w:pPr>
            <w:r>
              <w:rPr>
                <w:rFonts w:hint="eastAsia" w:ascii="仿宋" w:hAnsi="仿宋" w:eastAsia="仿宋" w:cs="仿宋"/>
                <w:szCs w:val="21"/>
                <w:lang w:val="en-US" w:eastAsia="zh-CN"/>
              </w:rPr>
              <w:t>3</w:t>
            </w:r>
            <w:r>
              <w:rPr>
                <w:rFonts w:hint="eastAsia" w:ascii="仿宋" w:hAnsi="仿宋" w:eastAsia="仿宋" w:cs="仿宋"/>
                <w:szCs w:val="21"/>
              </w:rPr>
              <w:t>）技术部分得分</w:t>
            </w:r>
          </w:p>
          <w:p>
            <w:pPr>
              <w:spacing w:line="300" w:lineRule="exact"/>
              <w:jc w:val="center"/>
              <w:rPr>
                <w:rFonts w:hint="eastAsia" w:ascii="仿宋" w:hAnsi="仿宋" w:eastAsia="仿宋" w:cs="仿宋"/>
                <w:szCs w:val="21"/>
              </w:rPr>
            </w:pPr>
            <w:r>
              <w:rPr>
                <w:rFonts w:hint="eastAsia" w:ascii="仿宋" w:hAnsi="仿宋" w:eastAsia="仿宋" w:cs="仿宋"/>
                <w:szCs w:val="21"/>
              </w:rPr>
              <w:t>（满分</w:t>
            </w:r>
            <w:r>
              <w:rPr>
                <w:rFonts w:hint="eastAsia" w:ascii="仿宋" w:hAnsi="仿宋" w:eastAsia="仿宋" w:cs="仿宋"/>
                <w:szCs w:val="21"/>
                <w:lang w:val="en-US" w:eastAsia="zh-CN"/>
              </w:rPr>
              <w:t>55</w:t>
            </w:r>
            <w:r>
              <w:rPr>
                <w:rFonts w:hint="eastAsia" w:ascii="仿宋" w:hAnsi="仿宋" w:eastAsia="仿宋" w:cs="仿宋"/>
                <w:szCs w:val="21"/>
              </w:rPr>
              <w:t>分）</w:t>
            </w:r>
          </w:p>
        </w:tc>
        <w:tc>
          <w:tcPr>
            <w:tcW w:w="6208" w:type="dxa"/>
            <w:vAlign w:val="center"/>
          </w:tcPr>
          <w:p>
            <w:pPr>
              <w:tabs>
                <w:tab w:val="left" w:pos="540"/>
              </w:tabs>
              <w:adjustRightInd w:val="0"/>
              <w:spacing w:line="360" w:lineRule="auto"/>
              <w:rPr>
                <w:rFonts w:hint="eastAsia" w:ascii="仿宋" w:hAnsi="仿宋" w:eastAsia="仿宋" w:cs="仿宋"/>
                <w:b/>
              </w:rPr>
            </w:pPr>
            <w:r>
              <w:rPr>
                <w:rFonts w:hint="eastAsia" w:ascii="仿宋" w:hAnsi="仿宋" w:eastAsia="仿宋" w:cs="仿宋"/>
                <w:b/>
              </w:rPr>
              <w:t>投标人所提供的产品服务配置对招标文件要求参数指标响应的程度</w:t>
            </w:r>
          </w:p>
          <w:p>
            <w:pPr>
              <w:tabs>
                <w:tab w:val="left" w:pos="540"/>
              </w:tabs>
              <w:adjustRightInd w:val="0"/>
              <w:spacing w:line="360" w:lineRule="auto"/>
              <w:rPr>
                <w:rFonts w:hint="eastAsia" w:ascii="仿宋" w:hAnsi="仿宋" w:eastAsia="仿宋" w:cs="仿宋"/>
                <w:b/>
                <w:bCs/>
              </w:rPr>
            </w:pPr>
            <w:r>
              <w:rPr>
                <w:rFonts w:hint="eastAsia" w:ascii="仿宋" w:hAnsi="仿宋" w:eastAsia="仿宋" w:cs="仿宋"/>
                <w:b/>
                <w:bCs/>
                <w:lang w:val="en-US" w:eastAsia="zh-CN"/>
              </w:rPr>
              <w:t>1、</w:t>
            </w:r>
            <w:r>
              <w:rPr>
                <w:rFonts w:hint="eastAsia" w:ascii="仿宋" w:hAnsi="仿宋" w:eastAsia="仿宋" w:cs="仿宋"/>
                <w:b/>
                <w:bCs/>
              </w:rPr>
              <w:t>承保服务方案评审评分（满分</w:t>
            </w:r>
            <w:r>
              <w:rPr>
                <w:rFonts w:hint="eastAsia" w:ascii="仿宋" w:hAnsi="仿宋" w:eastAsia="仿宋" w:cs="仿宋"/>
                <w:b/>
                <w:bCs/>
                <w:lang w:val="en-US" w:eastAsia="zh-CN"/>
              </w:rPr>
              <w:t>15</w:t>
            </w:r>
            <w:r>
              <w:rPr>
                <w:rFonts w:hint="eastAsia" w:ascii="仿宋" w:hAnsi="仿宋" w:eastAsia="仿宋" w:cs="仿宋"/>
                <w:b/>
                <w:bCs/>
              </w:rPr>
              <w:t xml:space="preserve">分） </w:t>
            </w:r>
          </w:p>
          <w:p>
            <w:pPr>
              <w:tabs>
                <w:tab w:val="left" w:pos="540"/>
              </w:tabs>
              <w:adjustRightInd w:val="0"/>
              <w:spacing w:line="360" w:lineRule="auto"/>
              <w:rPr>
                <w:rFonts w:hint="eastAsia" w:ascii="仿宋" w:hAnsi="仿宋" w:eastAsia="仿宋" w:cs="仿宋"/>
              </w:rPr>
            </w:pPr>
            <w:r>
              <w:rPr>
                <w:rFonts w:hint="eastAsia" w:ascii="仿宋" w:hAnsi="仿宋" w:eastAsia="仿宋" w:cs="仿宋"/>
              </w:rPr>
              <w:t xml:space="preserve">制定确保本项目承保服务方案，包括但不限于承保专岗人员配置、承保出单时效、保费收取方式及收取时效、创新技术运用等内容，根据方案可行性进行打分： </w:t>
            </w:r>
          </w:p>
          <w:p>
            <w:pPr>
              <w:tabs>
                <w:tab w:val="left" w:pos="540"/>
              </w:tabs>
              <w:adjustRightInd w:val="0"/>
              <w:spacing w:line="360" w:lineRule="auto"/>
              <w:rPr>
                <w:rFonts w:hint="eastAsia" w:ascii="仿宋" w:hAnsi="仿宋" w:eastAsia="仿宋" w:cs="仿宋"/>
              </w:rPr>
            </w:pPr>
            <w:r>
              <w:rPr>
                <w:rFonts w:hint="eastAsia" w:ascii="仿宋" w:hAnsi="仿宋" w:eastAsia="仿宋" w:cs="仿宋"/>
              </w:rPr>
              <w:t>第一个档次（</w:t>
            </w:r>
            <w:r>
              <w:rPr>
                <w:rFonts w:hint="eastAsia" w:ascii="仿宋" w:hAnsi="仿宋" w:eastAsia="仿宋" w:cs="仿宋"/>
                <w:lang w:val="en-US" w:eastAsia="zh-CN"/>
              </w:rPr>
              <w:t>15</w:t>
            </w:r>
            <w:r>
              <w:rPr>
                <w:rFonts w:hint="eastAsia" w:ascii="仿宋" w:hAnsi="仿宋" w:eastAsia="仿宋" w:cs="仿宋"/>
              </w:rPr>
              <w:t xml:space="preserve">分）：方案编制合理、条理清晰、合理性、可行性、针对性强； </w:t>
            </w:r>
          </w:p>
          <w:p>
            <w:pPr>
              <w:tabs>
                <w:tab w:val="left" w:pos="540"/>
              </w:tabs>
              <w:adjustRightInd w:val="0"/>
              <w:spacing w:line="360" w:lineRule="auto"/>
              <w:rPr>
                <w:rFonts w:hint="eastAsia" w:ascii="仿宋" w:hAnsi="仿宋" w:eastAsia="仿宋" w:cs="仿宋"/>
              </w:rPr>
            </w:pPr>
            <w:r>
              <w:rPr>
                <w:rFonts w:hint="eastAsia" w:ascii="仿宋" w:hAnsi="仿宋" w:eastAsia="仿宋" w:cs="仿宋"/>
              </w:rPr>
              <w:t>第二个档次（</w:t>
            </w:r>
            <w:r>
              <w:rPr>
                <w:rFonts w:hint="eastAsia" w:ascii="仿宋" w:hAnsi="仿宋" w:eastAsia="仿宋" w:cs="仿宋"/>
                <w:lang w:val="en-US" w:eastAsia="zh-CN"/>
              </w:rPr>
              <w:t>12</w:t>
            </w:r>
            <w:r>
              <w:rPr>
                <w:rFonts w:hint="eastAsia" w:ascii="仿宋" w:hAnsi="仿宋" w:eastAsia="仿宋" w:cs="仿宋"/>
              </w:rPr>
              <w:t xml:space="preserve">分）：方案编制合理、条理清晰、合理性、可行性、针对性较好； </w:t>
            </w:r>
          </w:p>
          <w:p>
            <w:pPr>
              <w:tabs>
                <w:tab w:val="left" w:pos="540"/>
              </w:tabs>
              <w:adjustRightInd w:val="0"/>
              <w:spacing w:line="360" w:lineRule="auto"/>
              <w:rPr>
                <w:rFonts w:hint="eastAsia" w:ascii="仿宋" w:hAnsi="仿宋" w:eastAsia="仿宋" w:cs="仿宋"/>
              </w:rPr>
            </w:pPr>
            <w:r>
              <w:rPr>
                <w:rFonts w:hint="eastAsia" w:ascii="仿宋" w:hAnsi="仿宋" w:eastAsia="仿宋" w:cs="仿宋"/>
              </w:rPr>
              <w:t>第三个档次（</w:t>
            </w:r>
            <w:r>
              <w:rPr>
                <w:rFonts w:hint="eastAsia" w:ascii="仿宋" w:hAnsi="仿宋" w:eastAsia="仿宋" w:cs="仿宋"/>
                <w:lang w:val="en-US" w:eastAsia="zh-CN"/>
              </w:rPr>
              <w:t>9</w:t>
            </w:r>
            <w:r>
              <w:rPr>
                <w:rFonts w:hint="eastAsia" w:ascii="仿宋" w:hAnsi="仿宋" w:eastAsia="仿宋" w:cs="仿宋"/>
              </w:rPr>
              <w:t xml:space="preserve">分）：方案编制一般、条理较为清晰、可行性一般、针对性一般； </w:t>
            </w:r>
          </w:p>
          <w:p>
            <w:pPr>
              <w:tabs>
                <w:tab w:val="left" w:pos="540"/>
              </w:tabs>
              <w:adjustRightInd w:val="0"/>
              <w:spacing w:line="360" w:lineRule="auto"/>
              <w:rPr>
                <w:rFonts w:hint="eastAsia" w:ascii="仿宋" w:hAnsi="仿宋" w:eastAsia="仿宋" w:cs="仿宋"/>
              </w:rPr>
            </w:pPr>
            <w:r>
              <w:rPr>
                <w:rFonts w:hint="eastAsia" w:ascii="仿宋" w:hAnsi="仿宋" w:eastAsia="仿宋" w:cs="仿宋"/>
              </w:rPr>
              <w:t>第四个档次（</w:t>
            </w:r>
            <w:r>
              <w:rPr>
                <w:rFonts w:hint="eastAsia" w:ascii="仿宋" w:hAnsi="仿宋" w:eastAsia="仿宋" w:cs="仿宋"/>
                <w:lang w:val="en-US" w:eastAsia="zh-CN"/>
              </w:rPr>
              <w:t>6</w:t>
            </w:r>
            <w:r>
              <w:rPr>
                <w:rFonts w:hint="eastAsia" w:ascii="仿宋" w:hAnsi="仿宋" w:eastAsia="仿宋" w:cs="仿宋"/>
              </w:rPr>
              <w:t xml:space="preserve">分）：方案编制较差、条理性差、可行性差、针对性差。 </w:t>
            </w:r>
          </w:p>
          <w:p>
            <w:pPr>
              <w:tabs>
                <w:tab w:val="left" w:pos="540"/>
              </w:tabs>
              <w:adjustRightInd w:val="0"/>
              <w:spacing w:line="360" w:lineRule="auto"/>
              <w:rPr>
                <w:rFonts w:hint="eastAsia" w:ascii="仿宋" w:hAnsi="仿宋" w:eastAsia="仿宋" w:cs="仿宋"/>
              </w:rPr>
            </w:pPr>
            <w:r>
              <w:rPr>
                <w:rFonts w:hint="eastAsia" w:ascii="仿宋" w:hAnsi="仿宋" w:eastAsia="仿宋" w:cs="仿宋"/>
              </w:rPr>
              <w:t>第五个档次（</w:t>
            </w:r>
            <w:r>
              <w:rPr>
                <w:rFonts w:hint="eastAsia" w:ascii="仿宋" w:hAnsi="仿宋" w:eastAsia="仿宋" w:cs="仿宋"/>
                <w:lang w:val="en-US" w:eastAsia="zh-CN"/>
              </w:rPr>
              <w:t>3</w:t>
            </w:r>
            <w:r>
              <w:rPr>
                <w:rFonts w:hint="eastAsia" w:ascii="仿宋" w:hAnsi="仿宋" w:eastAsia="仿宋" w:cs="仿宋"/>
              </w:rPr>
              <w:t>分）：方案编制有缺漏或无时效承诺的。</w:t>
            </w:r>
          </w:p>
          <w:p>
            <w:pPr>
              <w:pStyle w:val="3"/>
              <w:numPr>
                <w:ilvl w:val="1"/>
                <w:numId w:val="0"/>
              </w:numPr>
              <w:jc w:val="both"/>
              <w:rPr>
                <w:rFonts w:hint="eastAsia" w:ascii="仿宋" w:hAnsi="仿宋" w:eastAsia="仿宋" w:cs="仿宋"/>
                <w:b w:val="0"/>
                <w:bCs w:val="0"/>
                <w:kern w:val="2"/>
                <w:sz w:val="21"/>
                <w:szCs w:val="20"/>
                <w:lang w:val="en-US" w:eastAsia="zh-CN" w:bidi="ar-SA"/>
              </w:rPr>
            </w:pPr>
            <w:bookmarkStart w:id="392" w:name="_Toc12844"/>
            <w:r>
              <w:rPr>
                <w:rFonts w:hint="eastAsia" w:ascii="仿宋" w:hAnsi="仿宋" w:eastAsia="仿宋" w:cs="仿宋"/>
                <w:b w:val="0"/>
                <w:bCs w:val="0"/>
                <w:kern w:val="2"/>
                <w:sz w:val="21"/>
                <w:szCs w:val="20"/>
                <w:lang w:val="en-US" w:eastAsia="zh-CN" w:bidi="ar-SA"/>
              </w:rPr>
              <w:t>第六个档次（0分）：未提供承保服务方案的。</w:t>
            </w:r>
            <w:bookmarkEnd w:id="392"/>
          </w:p>
          <w:p>
            <w:pPr>
              <w:tabs>
                <w:tab w:val="left" w:pos="540"/>
              </w:tabs>
              <w:adjustRightInd w:val="0"/>
              <w:spacing w:line="360" w:lineRule="auto"/>
              <w:rPr>
                <w:rFonts w:hint="eastAsia" w:ascii="仿宋" w:hAnsi="仿宋" w:eastAsia="仿宋" w:cs="仿宋"/>
                <w:b/>
                <w:bCs/>
              </w:rPr>
            </w:pPr>
            <w:r>
              <w:rPr>
                <w:rFonts w:hint="eastAsia" w:ascii="仿宋" w:hAnsi="仿宋" w:eastAsia="仿宋" w:cs="仿宋"/>
                <w:b/>
                <w:bCs/>
                <w:lang w:val="en-US" w:eastAsia="zh-CN"/>
              </w:rPr>
              <w:t>2、</w:t>
            </w:r>
            <w:r>
              <w:rPr>
                <w:rFonts w:hint="eastAsia" w:ascii="仿宋" w:hAnsi="仿宋" w:eastAsia="仿宋" w:cs="仿宋"/>
                <w:b/>
                <w:bCs/>
              </w:rPr>
              <w:t>理赔服务方案评审评分（满分</w:t>
            </w:r>
            <w:r>
              <w:rPr>
                <w:rFonts w:hint="eastAsia" w:ascii="仿宋" w:hAnsi="仿宋" w:eastAsia="仿宋" w:cs="仿宋"/>
                <w:b/>
                <w:bCs/>
                <w:lang w:val="en-US" w:eastAsia="zh-CN"/>
              </w:rPr>
              <w:t>15</w:t>
            </w:r>
            <w:r>
              <w:rPr>
                <w:rFonts w:hint="eastAsia" w:ascii="仿宋" w:hAnsi="仿宋" w:eastAsia="仿宋" w:cs="仿宋"/>
                <w:b/>
                <w:bCs/>
              </w:rPr>
              <w:t xml:space="preserve"> 分） </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bCs/>
                <w:color w:val="000000"/>
                <w:sz w:val="21"/>
                <w:szCs w:val="21"/>
                <w:highlight w:val="none"/>
              </w:rPr>
            </w:pPr>
            <w:r>
              <w:rPr>
                <w:rFonts w:hint="eastAsia" w:ascii="仿宋" w:hAnsi="仿宋" w:eastAsia="仿宋" w:cs="仿宋"/>
                <w:color w:val="000000"/>
                <w:highlight w:val="none"/>
                <w:lang w:val="en-US" w:eastAsia="zh-CN"/>
              </w:rPr>
              <w:t>根据投标人制定</w:t>
            </w:r>
            <w:r>
              <w:rPr>
                <w:rFonts w:hint="eastAsia" w:ascii="仿宋" w:hAnsi="仿宋" w:eastAsia="仿宋" w:cs="仿宋"/>
                <w:bCs/>
                <w:color w:val="000000"/>
                <w:sz w:val="21"/>
                <w:szCs w:val="21"/>
                <w:highlight w:val="none"/>
              </w:rPr>
              <w:t>的理赔服务方案，包括但不限于方案设计原则、理赔专岗人员配置、接报案电话设置、查勘时效、赔款时效、小案快赔机制、重大疑难案件会商机制、法律援助咨询等内容根据方案进行打分：</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 xml:space="preserve">第一个档次（15分）：方案编制合理、条理清晰、合理性、可行性、针对性强； </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 xml:space="preserve">第二个档次（12分）：方案编制合理、条理清晰、合理性、可行性、针对性较好； </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 xml:space="preserve">第三个档次（9分）：方案编制一般、条理较为清晰、可行性一般、针对性一般； </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 xml:space="preserve">第四个档次（6分）：方案编制较差、条理性差、可行性差、针对性差。 </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 xml:space="preserve">第五个档次（3分）：方案编制有缺漏。 </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第六个档次（0分）：未提供理赔服务方案的。</w:t>
            </w:r>
          </w:p>
          <w:p>
            <w:pPr>
              <w:numPr>
                <w:ilvl w:val="0"/>
                <w:numId w:val="27"/>
              </w:numPr>
              <w:tabs>
                <w:tab w:val="left" w:pos="540"/>
              </w:tabs>
              <w:adjustRightInd w:val="0"/>
              <w:spacing w:line="360" w:lineRule="auto"/>
              <w:rPr>
                <w:rFonts w:hint="eastAsia" w:ascii="仿宋" w:hAnsi="仿宋" w:eastAsia="仿宋" w:cs="仿宋"/>
                <w:b/>
                <w:bCs/>
                <w:lang w:val="en-US" w:eastAsia="zh-CN"/>
              </w:rPr>
            </w:pPr>
            <w:r>
              <w:rPr>
                <w:rFonts w:hint="eastAsia" w:ascii="仿宋" w:hAnsi="仿宋" w:eastAsia="仿宋" w:cs="仿宋"/>
                <w:b/>
                <w:bCs/>
                <w:lang w:val="en-US" w:eastAsia="zh-CN"/>
              </w:rPr>
              <w:t>风险管理服务方案（满分10分）</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根据投标人提供的风险管理服务方案进行评审评分，包括但不限于校园风险评估、校园风险理论分析、校园安全教育宣传、风险管理咨询、服务承诺等</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第一个档次（10分）：方案编制合理、条理清晰、实施措施阐述明晰，有效，全面，所列服务范围全面，针对性强，建议内容完全符合校园安全管理实际，切实可行的；</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第二个档次（8分）：方案编制合理、实施措施阐述全面，所列服务范围较为全面，针对性较强，内容符合校园安全管理实际，可行性强的；</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第三个档次（6分）：方案编制基本合理、条理清晰、实施措施阐述基本明晰，有效，全面，所列服务范围较为全面，针对性较强，内容基本符合校园安全管理实际，可行较强的；</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第四个档次（4分）方案编制一般、条理基本清晰，实施措施阐述基本明晰、有效，全面性略有欠缺，所列服务范围基本完善，有一定的针对性，内容可行但有缺失的；</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第五个档次（2分）：方案编制差、条理不清晰，实施措施阐述不明晰的</w:t>
            </w:r>
          </w:p>
          <w:p>
            <w:pPr>
              <w:keepNext w:val="0"/>
              <w:keepLines w:val="0"/>
              <w:pageBreakBefore w:val="0"/>
              <w:widowControl w:val="0"/>
              <w:kinsoku/>
              <w:wordWrap/>
              <w:overflowPunct/>
              <w:topLinePunct w:val="0"/>
              <w:autoSpaceDE/>
              <w:autoSpaceDN/>
              <w:bidi w:val="0"/>
              <w:adjustRightInd/>
              <w:snapToGrid w:val="0"/>
              <w:spacing w:line="420" w:lineRule="exact"/>
              <w:textAlignment w:val="auto"/>
              <w:rPr>
                <w:rFonts w:hint="eastAsia" w:ascii="仿宋" w:hAnsi="仿宋" w:eastAsia="仿宋" w:cs="仿宋"/>
                <w:color w:val="000000"/>
                <w:highlight w:val="none"/>
                <w:lang w:val="en-US" w:eastAsia="zh-CN"/>
              </w:rPr>
            </w:pPr>
            <w:r>
              <w:rPr>
                <w:rFonts w:hint="eastAsia" w:ascii="仿宋" w:hAnsi="仿宋" w:eastAsia="仿宋" w:cs="仿宋"/>
                <w:color w:val="000000"/>
                <w:highlight w:val="none"/>
                <w:lang w:val="en-US" w:eastAsia="zh-CN"/>
              </w:rPr>
              <w:t>第六个档次（0分）：未提供风险管理服务方案的。</w:t>
            </w:r>
          </w:p>
          <w:p>
            <w:pPr>
              <w:rPr>
                <w:rFonts w:hint="eastAsia" w:ascii="仿宋" w:hAnsi="仿宋" w:eastAsia="仿宋" w:cs="仿宋"/>
                <w:color w:val="auto"/>
                <w:lang w:val="en-US" w:eastAsia="zh-CN"/>
              </w:rPr>
            </w:pPr>
          </w:p>
          <w:p>
            <w:pPr>
              <w:spacing w:line="420" w:lineRule="exact"/>
              <w:rPr>
                <w:rFonts w:hint="eastAsia" w:ascii="仿宋" w:hAnsi="仿宋" w:eastAsia="仿宋" w:cs="仿宋"/>
                <w:b/>
                <w:bCs/>
                <w:color w:val="auto"/>
              </w:rPr>
            </w:pPr>
            <w:r>
              <w:rPr>
                <w:rFonts w:hint="eastAsia" w:ascii="仿宋" w:hAnsi="仿宋" w:eastAsia="仿宋" w:cs="仿宋"/>
                <w:b/>
                <w:lang w:val="en-US" w:eastAsia="zh-CN"/>
              </w:rPr>
              <w:t>4、</w:t>
            </w:r>
            <w:r>
              <w:rPr>
                <w:rFonts w:hint="eastAsia" w:ascii="仿宋" w:hAnsi="仿宋" w:eastAsia="仿宋" w:cs="仿宋"/>
                <w:b/>
                <w:bCs/>
                <w:color w:val="auto"/>
              </w:rPr>
              <w:t>应急预案评审评分（满分10分）</w:t>
            </w:r>
          </w:p>
          <w:p>
            <w:pPr>
              <w:spacing w:line="360" w:lineRule="exact"/>
              <w:jc w:val="left"/>
              <w:rPr>
                <w:rFonts w:hint="eastAsia" w:ascii="仿宋" w:hAnsi="仿宋" w:eastAsia="仿宋" w:cs="仿宋"/>
                <w:color w:val="auto"/>
              </w:rPr>
            </w:pPr>
            <w:r>
              <w:rPr>
                <w:rFonts w:hint="eastAsia" w:ascii="仿宋" w:hAnsi="仿宋" w:eastAsia="仿宋" w:cs="仿宋"/>
                <w:color w:val="auto"/>
              </w:rPr>
              <w:t>第一个档次（10分）：</w:t>
            </w:r>
            <w:r>
              <w:rPr>
                <w:rFonts w:hint="eastAsia" w:ascii="仿宋" w:hAnsi="仿宋" w:eastAsia="仿宋" w:cs="仿宋"/>
                <w:color w:val="auto"/>
                <w:lang w:eastAsia="zh-CN"/>
              </w:rPr>
              <w:t>投标人</w:t>
            </w:r>
            <w:r>
              <w:rPr>
                <w:rFonts w:hint="eastAsia" w:ascii="仿宋" w:hAnsi="仿宋" w:eastAsia="仿宋" w:cs="仿宋"/>
                <w:color w:val="auto"/>
              </w:rPr>
              <w:t>针对本项目服务需求内容及学校实际情况提供应急预案方案，方案内容详细、具体，考虑全面，编制科学，针对本项目服务特点提出切实可行的解决方案；</w:t>
            </w:r>
          </w:p>
          <w:p>
            <w:pPr>
              <w:spacing w:line="360" w:lineRule="exact"/>
              <w:jc w:val="left"/>
              <w:rPr>
                <w:rFonts w:hint="eastAsia" w:ascii="仿宋" w:hAnsi="仿宋" w:eastAsia="仿宋" w:cs="仿宋"/>
                <w:color w:val="auto"/>
              </w:rPr>
            </w:pPr>
            <w:r>
              <w:rPr>
                <w:rFonts w:hint="eastAsia" w:ascii="仿宋" w:hAnsi="仿宋" w:eastAsia="仿宋" w:cs="仿宋"/>
                <w:color w:val="auto"/>
              </w:rPr>
              <w:t>第二个档次（7分）：</w:t>
            </w:r>
            <w:r>
              <w:rPr>
                <w:rFonts w:hint="eastAsia" w:ascii="仿宋" w:hAnsi="仿宋" w:eastAsia="仿宋" w:cs="仿宋"/>
                <w:color w:val="auto"/>
                <w:lang w:eastAsia="zh-CN"/>
              </w:rPr>
              <w:t>投标人</w:t>
            </w:r>
            <w:r>
              <w:rPr>
                <w:rFonts w:hint="eastAsia" w:ascii="仿宋" w:hAnsi="仿宋" w:eastAsia="仿宋" w:cs="仿宋"/>
                <w:color w:val="auto"/>
              </w:rPr>
              <w:t>针对本项目服务需求内容及学校实际情况提供应急预案方案，方案内容完整，针对本项目服务特点能提出可行的解决方案；</w:t>
            </w:r>
          </w:p>
          <w:p>
            <w:pPr>
              <w:spacing w:line="360" w:lineRule="exact"/>
              <w:jc w:val="left"/>
              <w:rPr>
                <w:rFonts w:hint="eastAsia" w:ascii="仿宋" w:hAnsi="仿宋" w:eastAsia="仿宋" w:cs="仿宋"/>
                <w:color w:val="auto"/>
              </w:rPr>
            </w:pPr>
            <w:r>
              <w:rPr>
                <w:rFonts w:hint="eastAsia" w:ascii="仿宋" w:hAnsi="仿宋" w:eastAsia="仿宋" w:cs="仿宋"/>
                <w:color w:val="auto"/>
              </w:rPr>
              <w:t>第三个档次（4分）：</w:t>
            </w:r>
            <w:r>
              <w:rPr>
                <w:rFonts w:hint="eastAsia" w:ascii="仿宋" w:hAnsi="仿宋" w:eastAsia="仿宋" w:cs="仿宋"/>
                <w:color w:val="auto"/>
                <w:lang w:eastAsia="zh-CN"/>
              </w:rPr>
              <w:t>投标人</w:t>
            </w:r>
            <w:r>
              <w:rPr>
                <w:rFonts w:hint="eastAsia" w:ascii="仿宋" w:hAnsi="仿宋" w:eastAsia="仿宋" w:cs="仿宋"/>
                <w:color w:val="auto"/>
              </w:rPr>
              <w:t>针对本项目服务需求内容及学校实际情况提供应急预案方案，方案内容基本完整，针对本项目服务特点能提出基本可行的解决方案；</w:t>
            </w:r>
          </w:p>
          <w:p>
            <w:pPr>
              <w:spacing w:line="360" w:lineRule="exact"/>
              <w:jc w:val="left"/>
              <w:rPr>
                <w:rFonts w:hint="eastAsia" w:ascii="仿宋" w:hAnsi="仿宋" w:eastAsia="仿宋" w:cs="仿宋"/>
                <w:color w:val="auto"/>
              </w:rPr>
            </w:pPr>
            <w:r>
              <w:rPr>
                <w:rFonts w:hint="eastAsia" w:ascii="仿宋" w:hAnsi="仿宋" w:eastAsia="仿宋" w:cs="仿宋"/>
                <w:color w:val="auto"/>
              </w:rPr>
              <w:t>第四个档次（2分）：</w:t>
            </w:r>
            <w:r>
              <w:rPr>
                <w:rFonts w:hint="eastAsia" w:ascii="仿宋" w:hAnsi="仿宋" w:eastAsia="仿宋" w:cs="仿宋"/>
                <w:color w:val="auto"/>
                <w:lang w:eastAsia="zh-CN"/>
              </w:rPr>
              <w:t>投标人</w:t>
            </w:r>
            <w:r>
              <w:rPr>
                <w:rFonts w:hint="eastAsia" w:ascii="仿宋" w:hAnsi="仿宋" w:eastAsia="仿宋" w:cs="仿宋"/>
                <w:color w:val="auto"/>
              </w:rPr>
              <w:t>针对本项目服务需求内容及学校实际情况提供应急预案方案，方案内容缺漏，难以针对本项目服务特点提出解决方案。</w:t>
            </w:r>
          </w:p>
          <w:p>
            <w:pPr>
              <w:tabs>
                <w:tab w:val="left" w:pos="540"/>
              </w:tabs>
              <w:adjustRightInd w:val="0"/>
              <w:spacing w:line="360" w:lineRule="auto"/>
              <w:rPr>
                <w:rFonts w:hint="eastAsia" w:ascii="仿宋" w:hAnsi="仿宋" w:eastAsia="仿宋" w:cs="仿宋"/>
                <w:color w:val="auto"/>
              </w:rPr>
            </w:pPr>
            <w:r>
              <w:rPr>
                <w:rFonts w:hint="eastAsia" w:ascii="仿宋" w:hAnsi="仿宋" w:eastAsia="仿宋" w:cs="仿宋"/>
                <w:color w:val="auto"/>
              </w:rPr>
              <w:t>第五个档次（0分）：</w:t>
            </w:r>
            <w:r>
              <w:rPr>
                <w:rFonts w:hint="eastAsia" w:ascii="仿宋" w:hAnsi="仿宋" w:eastAsia="仿宋" w:cs="仿宋"/>
                <w:color w:val="auto"/>
                <w:lang w:eastAsia="zh-CN"/>
              </w:rPr>
              <w:t>投标人</w:t>
            </w:r>
            <w:r>
              <w:rPr>
                <w:rFonts w:hint="eastAsia" w:ascii="仿宋" w:hAnsi="仿宋" w:eastAsia="仿宋" w:cs="仿宋"/>
                <w:color w:val="auto"/>
              </w:rPr>
              <w:t>未提出应急预案。</w:t>
            </w:r>
          </w:p>
          <w:p>
            <w:pPr>
              <w:adjustRightInd w:val="0"/>
              <w:snapToGrid w:val="0"/>
              <w:spacing w:line="360" w:lineRule="auto"/>
              <w:rPr>
                <w:rFonts w:hint="eastAsia" w:ascii="仿宋" w:hAnsi="仿宋" w:eastAsia="仿宋" w:cs="仿宋"/>
                <w:b/>
                <w:color w:val="auto"/>
                <w:szCs w:val="21"/>
              </w:rPr>
            </w:pPr>
            <w:r>
              <w:rPr>
                <w:rFonts w:hint="eastAsia" w:ascii="仿宋" w:hAnsi="仿宋" w:eastAsia="仿宋" w:cs="仿宋"/>
                <w:b/>
                <w:color w:val="auto"/>
                <w:szCs w:val="21"/>
                <w:lang w:val="en-US" w:eastAsia="zh-CN"/>
              </w:rPr>
              <w:t>5、</w:t>
            </w:r>
            <w:r>
              <w:rPr>
                <w:rFonts w:hint="eastAsia" w:ascii="仿宋" w:hAnsi="仿宋" w:eastAsia="仿宋" w:cs="仿宋"/>
                <w:b/>
                <w:color w:val="auto"/>
                <w:szCs w:val="21"/>
              </w:rPr>
              <w:t>保险</w:t>
            </w:r>
            <w:r>
              <w:rPr>
                <w:rFonts w:hint="eastAsia" w:ascii="仿宋" w:hAnsi="仿宋" w:eastAsia="仿宋" w:cs="仿宋"/>
                <w:b/>
                <w:color w:val="auto"/>
                <w:szCs w:val="21"/>
                <w:lang w:val="en-US" w:eastAsia="zh-CN"/>
              </w:rPr>
              <w:t>方案</w:t>
            </w:r>
            <w:r>
              <w:rPr>
                <w:rFonts w:hint="eastAsia" w:ascii="仿宋" w:hAnsi="仿宋" w:eastAsia="仿宋" w:cs="仿宋"/>
                <w:b/>
                <w:color w:val="auto"/>
                <w:szCs w:val="21"/>
              </w:rPr>
              <w:t>评审评分（满分</w:t>
            </w:r>
            <w:r>
              <w:rPr>
                <w:rFonts w:hint="eastAsia" w:ascii="仿宋" w:hAnsi="仿宋" w:eastAsia="仿宋" w:cs="仿宋"/>
                <w:b/>
                <w:color w:val="auto"/>
                <w:szCs w:val="21"/>
                <w:lang w:val="en-US" w:eastAsia="zh-CN"/>
              </w:rPr>
              <w:t>5</w:t>
            </w:r>
            <w:r>
              <w:rPr>
                <w:rFonts w:hint="eastAsia" w:ascii="仿宋" w:hAnsi="仿宋" w:eastAsia="仿宋" w:cs="仿宋"/>
                <w:b/>
                <w:color w:val="auto"/>
                <w:szCs w:val="21"/>
              </w:rPr>
              <w:t>分）</w:t>
            </w:r>
          </w:p>
          <w:p>
            <w:pPr>
              <w:spacing w:line="360" w:lineRule="exact"/>
              <w:jc w:val="left"/>
              <w:rPr>
                <w:rFonts w:hint="eastAsia" w:ascii="仿宋" w:hAnsi="仿宋" w:eastAsia="仿宋" w:cs="仿宋"/>
                <w:color w:val="auto"/>
                <w:lang w:eastAsia="zh-CN"/>
              </w:rPr>
            </w:pPr>
            <w:r>
              <w:rPr>
                <w:rFonts w:hint="eastAsia" w:ascii="仿宋" w:hAnsi="仿宋" w:eastAsia="仿宋" w:cs="仿宋"/>
                <w:color w:val="auto"/>
                <w:lang w:val="en-US" w:eastAsia="zh-CN"/>
              </w:rPr>
              <w:t>1.保险方案</w:t>
            </w:r>
            <w:r>
              <w:rPr>
                <w:rFonts w:hint="eastAsia" w:ascii="仿宋" w:hAnsi="仿宋" w:eastAsia="仿宋" w:cs="仿宋"/>
                <w:color w:val="auto"/>
                <w:lang w:eastAsia="zh-CN"/>
              </w:rPr>
              <w:t>完全响应</w:t>
            </w:r>
            <w:r>
              <w:rPr>
                <w:rFonts w:hint="eastAsia" w:ascii="仿宋" w:hAnsi="仿宋" w:eastAsia="仿宋" w:cs="仿宋"/>
                <w:color w:val="auto"/>
                <w:lang w:val="en-US" w:eastAsia="zh-CN"/>
              </w:rPr>
              <w:t>的得5</w:t>
            </w:r>
            <w:r>
              <w:rPr>
                <w:rFonts w:hint="eastAsia" w:ascii="仿宋" w:hAnsi="仿宋" w:eastAsia="仿宋" w:cs="仿宋"/>
                <w:color w:val="auto"/>
                <w:lang w:eastAsia="zh-CN"/>
              </w:rPr>
              <w:t>分；</w:t>
            </w:r>
          </w:p>
          <w:p>
            <w:pPr>
              <w:spacing w:line="360" w:lineRule="exact"/>
              <w:jc w:val="left"/>
              <w:rPr>
                <w:rFonts w:hint="eastAsia" w:ascii="仿宋" w:hAnsi="仿宋" w:eastAsia="仿宋" w:cs="仿宋"/>
              </w:rPr>
            </w:pPr>
            <w:r>
              <w:rPr>
                <w:rFonts w:hint="eastAsia" w:ascii="仿宋" w:hAnsi="仿宋" w:eastAsia="仿宋" w:cs="仿宋"/>
                <w:color w:val="auto"/>
                <w:lang w:eastAsia="zh-CN"/>
              </w:rPr>
              <w:t>2.</w:t>
            </w:r>
            <w:r>
              <w:rPr>
                <w:rFonts w:hint="eastAsia" w:ascii="仿宋" w:hAnsi="仿宋" w:eastAsia="仿宋" w:cs="仿宋"/>
                <w:color w:val="auto"/>
                <w:lang w:val="en-US" w:eastAsia="zh-CN"/>
              </w:rPr>
              <w:t>保险方案不</w:t>
            </w:r>
            <w:r>
              <w:rPr>
                <w:rFonts w:hint="eastAsia" w:ascii="仿宋" w:hAnsi="仿宋" w:eastAsia="仿宋" w:cs="仿宋"/>
                <w:color w:val="auto"/>
                <w:lang w:eastAsia="zh-CN"/>
              </w:rPr>
              <w:t>完全响应</w:t>
            </w:r>
            <w:r>
              <w:rPr>
                <w:rFonts w:hint="eastAsia" w:ascii="仿宋" w:hAnsi="仿宋" w:eastAsia="仿宋" w:cs="仿宋"/>
                <w:color w:val="auto"/>
                <w:lang w:val="en-US" w:eastAsia="zh-CN"/>
              </w:rPr>
              <w:t>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0" w:hRule="atLeast"/>
          <w:jc w:val="center"/>
        </w:trPr>
        <w:tc>
          <w:tcPr>
            <w:tcW w:w="824" w:type="dxa"/>
            <w:vMerge w:val="continue"/>
            <w:vAlign w:val="center"/>
          </w:tcPr>
          <w:p>
            <w:pPr>
              <w:rPr>
                <w:rFonts w:hint="eastAsia" w:ascii="仿宋" w:hAnsi="仿宋" w:eastAsia="仿宋" w:cs="仿宋"/>
                <w:szCs w:val="21"/>
              </w:rPr>
            </w:pPr>
          </w:p>
        </w:tc>
        <w:tc>
          <w:tcPr>
            <w:tcW w:w="850" w:type="dxa"/>
            <w:vMerge w:val="continue"/>
            <w:vAlign w:val="center"/>
          </w:tcPr>
          <w:p>
            <w:pPr>
              <w:rPr>
                <w:rFonts w:hint="eastAsia" w:ascii="仿宋" w:hAnsi="仿宋" w:eastAsia="仿宋" w:cs="仿宋"/>
                <w:szCs w:val="21"/>
              </w:rPr>
            </w:pPr>
          </w:p>
        </w:tc>
        <w:tc>
          <w:tcPr>
            <w:tcW w:w="1985" w:type="dxa"/>
            <w:vAlign w:val="center"/>
          </w:tcPr>
          <w:p>
            <w:pPr>
              <w:jc w:val="center"/>
              <w:rPr>
                <w:rFonts w:hint="eastAsia" w:ascii="仿宋" w:hAnsi="仿宋" w:eastAsia="仿宋" w:cs="仿宋"/>
                <w:szCs w:val="21"/>
                <w:highlight w:val="none"/>
              </w:rPr>
            </w:pPr>
            <w:r>
              <w:rPr>
                <w:rFonts w:hint="eastAsia" w:ascii="仿宋" w:hAnsi="仿宋" w:eastAsia="仿宋" w:cs="仿宋"/>
                <w:szCs w:val="21"/>
                <w:highlight w:val="none"/>
                <w:lang w:val="en-US" w:eastAsia="zh-CN"/>
              </w:rPr>
              <w:t>4</w:t>
            </w:r>
            <w:r>
              <w:rPr>
                <w:rFonts w:hint="eastAsia" w:ascii="仿宋" w:hAnsi="仿宋" w:eastAsia="仿宋" w:cs="仿宋"/>
                <w:szCs w:val="21"/>
                <w:highlight w:val="none"/>
              </w:rPr>
              <w:t>）</w:t>
            </w:r>
            <w:r>
              <w:rPr>
                <w:rFonts w:hint="eastAsia" w:ascii="仿宋" w:hAnsi="仿宋" w:eastAsia="仿宋" w:cs="仿宋"/>
                <w:szCs w:val="21"/>
                <w:highlight w:val="none"/>
                <w:lang w:eastAsia="zh-CN"/>
              </w:rPr>
              <w:t>服务部分</w:t>
            </w:r>
            <w:r>
              <w:rPr>
                <w:rFonts w:hint="eastAsia" w:ascii="仿宋" w:hAnsi="仿宋" w:eastAsia="仿宋" w:cs="仿宋"/>
                <w:szCs w:val="21"/>
                <w:highlight w:val="none"/>
              </w:rPr>
              <w:t>得分</w:t>
            </w:r>
          </w:p>
          <w:p>
            <w:pPr>
              <w:jc w:val="center"/>
              <w:rPr>
                <w:rFonts w:hint="eastAsia" w:ascii="仿宋" w:hAnsi="仿宋" w:eastAsia="仿宋" w:cs="仿宋"/>
                <w:szCs w:val="21"/>
                <w:highlight w:val="none"/>
              </w:rPr>
            </w:pPr>
            <w:r>
              <w:rPr>
                <w:rFonts w:hint="eastAsia" w:ascii="仿宋" w:hAnsi="仿宋" w:eastAsia="仿宋" w:cs="仿宋"/>
                <w:szCs w:val="21"/>
                <w:highlight w:val="none"/>
              </w:rPr>
              <w:t xml:space="preserve">  （满分</w:t>
            </w:r>
            <w:r>
              <w:rPr>
                <w:rFonts w:hint="eastAsia" w:ascii="仿宋" w:hAnsi="仿宋" w:eastAsia="仿宋" w:cs="仿宋"/>
                <w:szCs w:val="21"/>
                <w:highlight w:val="none"/>
                <w:lang w:val="en-US" w:eastAsia="zh-CN"/>
              </w:rPr>
              <w:t>45</w:t>
            </w:r>
            <w:r>
              <w:rPr>
                <w:rFonts w:hint="eastAsia" w:ascii="仿宋" w:hAnsi="仿宋" w:eastAsia="仿宋" w:cs="仿宋"/>
                <w:szCs w:val="21"/>
                <w:highlight w:val="none"/>
              </w:rPr>
              <w:t>分）</w:t>
            </w:r>
          </w:p>
        </w:tc>
        <w:tc>
          <w:tcPr>
            <w:tcW w:w="6208" w:type="dxa"/>
            <w:vAlign w:val="center"/>
          </w:tcPr>
          <w:p>
            <w:pPr>
              <w:tabs>
                <w:tab w:val="left" w:pos="540"/>
              </w:tabs>
              <w:adjustRightInd w:val="0"/>
              <w:spacing w:line="360" w:lineRule="auto"/>
              <w:rPr>
                <w:rFonts w:hint="eastAsia" w:ascii="仿宋" w:hAnsi="仿宋" w:eastAsia="仿宋" w:cs="仿宋"/>
                <w:b/>
                <w:bCs/>
                <w:highlight w:val="none"/>
              </w:rPr>
            </w:pPr>
            <w:r>
              <w:rPr>
                <w:rFonts w:hint="eastAsia" w:ascii="仿宋" w:hAnsi="仿宋" w:eastAsia="仿宋" w:cs="仿宋"/>
                <w:b/>
                <w:bCs/>
                <w:highlight w:val="none"/>
                <w:lang w:val="en-US" w:eastAsia="zh-CN"/>
              </w:rPr>
              <w:t>1、</w:t>
            </w:r>
            <w:r>
              <w:rPr>
                <w:rFonts w:hint="eastAsia" w:ascii="仿宋" w:hAnsi="仿宋" w:eastAsia="仿宋" w:cs="仿宋"/>
                <w:b/>
                <w:bCs/>
                <w:highlight w:val="none"/>
              </w:rPr>
              <w:t>本项目</w:t>
            </w:r>
            <w:r>
              <w:rPr>
                <w:rFonts w:hint="eastAsia" w:ascii="仿宋" w:hAnsi="仿宋" w:eastAsia="仿宋" w:cs="仿宋"/>
                <w:b/>
                <w:bCs/>
                <w:highlight w:val="none"/>
                <w:lang w:val="en-US" w:eastAsia="zh-CN"/>
              </w:rPr>
              <w:t>服务团队</w:t>
            </w:r>
            <w:r>
              <w:rPr>
                <w:rFonts w:hint="eastAsia" w:ascii="仿宋" w:hAnsi="仿宋" w:eastAsia="仿宋" w:cs="仿宋"/>
                <w:b/>
                <w:bCs/>
                <w:highlight w:val="none"/>
              </w:rPr>
              <w:t>配置评审评分（满分</w:t>
            </w:r>
            <w:r>
              <w:rPr>
                <w:rFonts w:hint="eastAsia" w:ascii="仿宋" w:hAnsi="仿宋" w:eastAsia="仿宋" w:cs="仿宋"/>
                <w:b/>
                <w:bCs/>
                <w:highlight w:val="none"/>
                <w:lang w:val="en-US" w:eastAsia="zh-CN"/>
              </w:rPr>
              <w:t>15</w:t>
            </w:r>
            <w:r>
              <w:rPr>
                <w:rFonts w:hint="eastAsia" w:ascii="仿宋" w:hAnsi="仿宋" w:eastAsia="仿宋" w:cs="仿宋"/>
                <w:b/>
                <w:bCs/>
                <w:highlight w:val="none"/>
              </w:rPr>
              <w:t>分）</w:t>
            </w:r>
          </w:p>
          <w:p>
            <w:pPr>
              <w:spacing w:line="420" w:lineRule="exact"/>
              <w:rPr>
                <w:rFonts w:hint="eastAsia" w:ascii="仿宋" w:hAnsi="仿宋" w:eastAsia="仿宋" w:cs="仿宋"/>
                <w:bCs/>
                <w:color w:val="auto"/>
                <w:szCs w:val="21"/>
              </w:rPr>
            </w:pPr>
            <w:r>
              <w:rPr>
                <w:rFonts w:hint="eastAsia" w:ascii="仿宋" w:hAnsi="仿宋" w:eastAsia="仿宋" w:cs="仿宋"/>
                <w:bCs/>
                <w:color w:val="auto"/>
                <w:szCs w:val="21"/>
              </w:rPr>
              <w:t>第一</w:t>
            </w:r>
            <w:r>
              <w:rPr>
                <w:rFonts w:hint="eastAsia" w:ascii="仿宋" w:hAnsi="仿宋" w:eastAsia="仿宋" w:cs="仿宋"/>
                <w:color w:val="auto"/>
              </w:rPr>
              <w:t>个</w:t>
            </w:r>
            <w:r>
              <w:rPr>
                <w:rFonts w:hint="eastAsia" w:ascii="仿宋" w:hAnsi="仿宋" w:eastAsia="仿宋" w:cs="仿宋"/>
                <w:bCs/>
                <w:color w:val="auto"/>
                <w:szCs w:val="21"/>
              </w:rPr>
              <w:t>档次（</w:t>
            </w:r>
            <w:r>
              <w:rPr>
                <w:rFonts w:hint="eastAsia" w:ascii="仿宋" w:hAnsi="仿宋" w:eastAsia="仿宋" w:cs="仿宋"/>
                <w:bCs/>
                <w:color w:val="auto"/>
                <w:szCs w:val="21"/>
                <w:lang w:val="en-US" w:eastAsia="zh-CN"/>
              </w:rPr>
              <w:t>15</w:t>
            </w:r>
            <w:r>
              <w:rPr>
                <w:rFonts w:hint="eastAsia" w:ascii="仿宋" w:hAnsi="仿宋" w:eastAsia="仿宋" w:cs="仿宋"/>
                <w:bCs/>
                <w:color w:val="auto"/>
                <w:szCs w:val="21"/>
              </w:rPr>
              <w:t>分）：拟派本项目项目负责人及组成人员，服务团队人员数量及专业配置合理，项目负责人及主要组成人员经验丰富的。</w:t>
            </w:r>
          </w:p>
          <w:p>
            <w:pPr>
              <w:spacing w:line="420" w:lineRule="exact"/>
              <w:rPr>
                <w:rFonts w:hint="eastAsia" w:ascii="仿宋" w:hAnsi="仿宋" w:eastAsia="仿宋" w:cs="仿宋"/>
                <w:bCs/>
                <w:color w:val="auto"/>
                <w:szCs w:val="21"/>
              </w:rPr>
            </w:pPr>
            <w:r>
              <w:rPr>
                <w:rFonts w:hint="eastAsia" w:ascii="仿宋" w:hAnsi="仿宋" w:eastAsia="仿宋" w:cs="仿宋"/>
                <w:bCs/>
                <w:color w:val="auto"/>
                <w:szCs w:val="21"/>
              </w:rPr>
              <w:t>第二</w:t>
            </w:r>
            <w:r>
              <w:rPr>
                <w:rFonts w:hint="eastAsia" w:ascii="仿宋" w:hAnsi="仿宋" w:eastAsia="仿宋" w:cs="仿宋"/>
                <w:color w:val="auto"/>
              </w:rPr>
              <w:t>个</w:t>
            </w:r>
            <w:r>
              <w:rPr>
                <w:rFonts w:hint="eastAsia" w:ascii="仿宋" w:hAnsi="仿宋" w:eastAsia="仿宋" w:cs="仿宋"/>
                <w:bCs/>
                <w:color w:val="auto"/>
                <w:szCs w:val="21"/>
              </w:rPr>
              <w:t>档次（</w:t>
            </w:r>
            <w:r>
              <w:rPr>
                <w:rFonts w:hint="eastAsia" w:ascii="仿宋" w:hAnsi="仿宋" w:eastAsia="仿宋" w:cs="仿宋"/>
                <w:bCs/>
                <w:color w:val="auto"/>
                <w:szCs w:val="21"/>
                <w:lang w:val="en-US" w:eastAsia="zh-CN"/>
              </w:rPr>
              <w:t>10</w:t>
            </w:r>
            <w:r>
              <w:rPr>
                <w:rFonts w:hint="eastAsia" w:ascii="仿宋" w:hAnsi="仿宋" w:eastAsia="仿宋" w:cs="仿宋"/>
                <w:bCs/>
                <w:color w:val="auto"/>
                <w:szCs w:val="21"/>
              </w:rPr>
              <w:t>分）：拟派本项目项目负责人及组成人员，服务团队人员数量及专业配置基本合理，项目负责人及主要组成人员经验一般的；</w:t>
            </w:r>
          </w:p>
          <w:p>
            <w:pPr>
              <w:spacing w:line="420" w:lineRule="exact"/>
              <w:rPr>
                <w:rFonts w:hint="eastAsia" w:ascii="仿宋" w:hAnsi="仿宋" w:eastAsia="仿宋" w:cs="仿宋"/>
                <w:bCs/>
                <w:color w:val="auto"/>
                <w:szCs w:val="21"/>
              </w:rPr>
            </w:pPr>
            <w:r>
              <w:rPr>
                <w:rFonts w:hint="eastAsia" w:ascii="仿宋" w:hAnsi="仿宋" w:eastAsia="仿宋" w:cs="仿宋"/>
                <w:bCs/>
                <w:color w:val="auto"/>
                <w:szCs w:val="21"/>
              </w:rPr>
              <w:t>第三</w:t>
            </w:r>
            <w:r>
              <w:rPr>
                <w:rFonts w:hint="eastAsia" w:ascii="仿宋" w:hAnsi="仿宋" w:eastAsia="仿宋" w:cs="仿宋"/>
                <w:color w:val="auto"/>
              </w:rPr>
              <w:t>个</w:t>
            </w:r>
            <w:r>
              <w:rPr>
                <w:rFonts w:hint="eastAsia" w:ascii="仿宋" w:hAnsi="仿宋" w:eastAsia="仿宋" w:cs="仿宋"/>
                <w:bCs/>
                <w:color w:val="auto"/>
                <w:szCs w:val="21"/>
              </w:rPr>
              <w:t>档次（</w:t>
            </w:r>
            <w:r>
              <w:rPr>
                <w:rFonts w:hint="eastAsia" w:ascii="仿宋" w:hAnsi="仿宋" w:eastAsia="仿宋" w:cs="仿宋"/>
                <w:bCs/>
                <w:color w:val="auto"/>
                <w:szCs w:val="21"/>
                <w:lang w:val="en-US" w:eastAsia="zh-CN"/>
              </w:rPr>
              <w:t>5</w:t>
            </w:r>
            <w:r>
              <w:rPr>
                <w:rFonts w:hint="eastAsia" w:ascii="仿宋" w:hAnsi="仿宋" w:eastAsia="仿宋" w:cs="仿宋"/>
                <w:bCs/>
                <w:color w:val="auto"/>
                <w:szCs w:val="21"/>
              </w:rPr>
              <w:t>分）：拟派本项目项目负责人及组成人员，服务团队人员数量及专业配置欠缺，项目负责人及主要组成人员无经验的。</w:t>
            </w:r>
          </w:p>
          <w:p>
            <w:pPr>
              <w:tabs>
                <w:tab w:val="left" w:pos="312"/>
              </w:tabs>
              <w:spacing w:line="360" w:lineRule="auto"/>
              <w:rPr>
                <w:rFonts w:hint="eastAsia" w:ascii="仿宋" w:hAnsi="仿宋" w:eastAsia="仿宋" w:cs="仿宋"/>
                <w:bCs/>
                <w:color w:val="auto"/>
                <w:szCs w:val="21"/>
              </w:rPr>
            </w:pPr>
            <w:r>
              <w:rPr>
                <w:rFonts w:hint="eastAsia" w:ascii="仿宋" w:hAnsi="仿宋" w:eastAsia="仿宋" w:cs="仿宋"/>
                <w:bCs/>
                <w:color w:val="auto"/>
                <w:szCs w:val="21"/>
              </w:rPr>
              <w:t>第四个档次（0分）：未对本项目配置人员的。</w:t>
            </w:r>
          </w:p>
          <w:p>
            <w:pPr>
              <w:tabs>
                <w:tab w:val="left" w:pos="312"/>
              </w:tabs>
              <w:spacing w:line="360" w:lineRule="auto"/>
              <w:rPr>
                <w:rFonts w:hint="eastAsia" w:ascii="仿宋" w:hAnsi="仿宋" w:eastAsia="仿宋" w:cs="仿宋"/>
                <w:b/>
                <w:bCs/>
                <w:szCs w:val="21"/>
                <w:highlight w:val="none"/>
              </w:rPr>
            </w:pPr>
            <w:r>
              <w:rPr>
                <w:rFonts w:hint="eastAsia" w:ascii="仿宋" w:hAnsi="仿宋" w:eastAsia="仿宋" w:cs="仿宋"/>
                <w:b/>
                <w:bCs/>
                <w:szCs w:val="21"/>
                <w:highlight w:val="none"/>
                <w:lang w:val="en-US" w:eastAsia="zh-CN"/>
              </w:rPr>
              <w:t>2</w:t>
            </w:r>
            <w:r>
              <w:rPr>
                <w:rFonts w:hint="eastAsia" w:ascii="仿宋" w:hAnsi="仿宋" w:eastAsia="仿宋" w:cs="仿宋"/>
                <w:b/>
                <w:bCs/>
                <w:szCs w:val="21"/>
                <w:highlight w:val="none"/>
              </w:rPr>
              <w:t>.售后服务方案评审评分（满分</w:t>
            </w:r>
            <w:r>
              <w:rPr>
                <w:rFonts w:hint="eastAsia" w:ascii="仿宋" w:hAnsi="仿宋" w:eastAsia="仿宋" w:cs="仿宋"/>
                <w:b/>
                <w:bCs/>
                <w:szCs w:val="21"/>
                <w:highlight w:val="none"/>
                <w:lang w:val="en-US" w:eastAsia="zh-CN"/>
              </w:rPr>
              <w:t>10</w:t>
            </w:r>
            <w:r>
              <w:rPr>
                <w:rFonts w:hint="eastAsia" w:ascii="仿宋" w:hAnsi="仿宋" w:eastAsia="仿宋" w:cs="仿宋"/>
                <w:b/>
                <w:bCs/>
                <w:szCs w:val="21"/>
                <w:highlight w:val="none"/>
              </w:rPr>
              <w:t>分）</w:t>
            </w:r>
          </w:p>
          <w:p>
            <w:pPr>
              <w:spacing w:line="360" w:lineRule="auto"/>
              <w:rPr>
                <w:rFonts w:hint="eastAsia" w:ascii="仿宋" w:hAnsi="仿宋" w:eastAsia="仿宋" w:cs="仿宋"/>
                <w:szCs w:val="21"/>
                <w:highlight w:val="none"/>
              </w:rPr>
            </w:pPr>
            <w:r>
              <w:rPr>
                <w:rFonts w:hint="eastAsia" w:ascii="仿宋" w:hAnsi="仿宋" w:eastAsia="仿宋" w:cs="仿宋"/>
                <w:szCs w:val="21"/>
                <w:highlight w:val="none"/>
              </w:rPr>
              <w:t>第一个档次（</w:t>
            </w:r>
            <w:r>
              <w:rPr>
                <w:rFonts w:hint="eastAsia" w:ascii="仿宋" w:hAnsi="仿宋" w:eastAsia="仿宋" w:cs="仿宋"/>
                <w:szCs w:val="21"/>
                <w:highlight w:val="none"/>
                <w:lang w:val="en-US" w:eastAsia="zh-CN"/>
              </w:rPr>
              <w:t>10</w:t>
            </w:r>
            <w:r>
              <w:rPr>
                <w:rFonts w:hint="eastAsia" w:ascii="仿宋" w:hAnsi="仿宋" w:eastAsia="仿宋" w:cs="仿宋"/>
                <w:szCs w:val="21"/>
                <w:highlight w:val="none"/>
              </w:rPr>
              <w:t>分）：售后服务能力强，能够提供优质的售后服务，售后服务体系完整度高，保障性强，售后服务方案、承诺及保证完善具体，针对性强，有相应的惩罚措施的；</w:t>
            </w:r>
          </w:p>
          <w:p>
            <w:pPr>
              <w:spacing w:line="360" w:lineRule="auto"/>
              <w:rPr>
                <w:rFonts w:hint="eastAsia" w:ascii="仿宋" w:hAnsi="仿宋" w:eastAsia="仿宋" w:cs="仿宋"/>
                <w:szCs w:val="21"/>
                <w:highlight w:val="none"/>
              </w:rPr>
            </w:pPr>
            <w:r>
              <w:rPr>
                <w:rFonts w:hint="eastAsia" w:ascii="仿宋" w:hAnsi="仿宋" w:eastAsia="仿宋" w:cs="仿宋"/>
                <w:szCs w:val="21"/>
                <w:highlight w:val="none"/>
              </w:rPr>
              <w:t>第二个档次（</w:t>
            </w:r>
            <w:r>
              <w:rPr>
                <w:rFonts w:hint="eastAsia" w:ascii="仿宋" w:hAnsi="仿宋" w:eastAsia="仿宋" w:cs="仿宋"/>
                <w:szCs w:val="21"/>
                <w:highlight w:val="none"/>
                <w:lang w:val="en-US" w:eastAsia="zh-CN"/>
              </w:rPr>
              <w:t>7</w:t>
            </w:r>
            <w:r>
              <w:rPr>
                <w:rFonts w:hint="eastAsia" w:ascii="仿宋" w:hAnsi="仿宋" w:eastAsia="仿宋" w:cs="仿宋"/>
                <w:szCs w:val="21"/>
                <w:highlight w:val="none"/>
              </w:rPr>
              <w:t>分）：售后服务能力较强，售后服务体系完整度及保障性较好，售后服务方案、承诺及保证具体可行，有针对性，有相应的惩罚措施的；</w:t>
            </w:r>
          </w:p>
          <w:p>
            <w:pPr>
              <w:spacing w:line="360" w:lineRule="auto"/>
              <w:rPr>
                <w:rFonts w:hint="eastAsia" w:ascii="仿宋" w:hAnsi="仿宋" w:eastAsia="仿宋" w:cs="仿宋"/>
                <w:szCs w:val="21"/>
                <w:highlight w:val="none"/>
              </w:rPr>
            </w:pPr>
            <w:r>
              <w:rPr>
                <w:rFonts w:hint="eastAsia" w:ascii="仿宋" w:hAnsi="仿宋" w:eastAsia="仿宋" w:cs="仿宋"/>
                <w:szCs w:val="21"/>
                <w:highlight w:val="none"/>
              </w:rPr>
              <w:t>第三个档次（</w:t>
            </w:r>
            <w:r>
              <w:rPr>
                <w:rFonts w:hint="eastAsia" w:ascii="仿宋" w:hAnsi="仿宋" w:eastAsia="仿宋" w:cs="仿宋"/>
                <w:szCs w:val="21"/>
                <w:highlight w:val="none"/>
                <w:lang w:val="en-US" w:eastAsia="zh-CN"/>
              </w:rPr>
              <w:t>4</w:t>
            </w:r>
            <w:r>
              <w:rPr>
                <w:rFonts w:hint="eastAsia" w:ascii="仿宋" w:hAnsi="仿宋" w:eastAsia="仿宋" w:cs="仿宋"/>
                <w:szCs w:val="21"/>
                <w:highlight w:val="none"/>
              </w:rPr>
              <w:t>分）：售后服务能力一般，售后服务体系完整度及保障性较好，售后服务方案、承诺及保证具体可行，有一定的针对性；</w:t>
            </w:r>
          </w:p>
          <w:p>
            <w:pPr>
              <w:spacing w:line="360" w:lineRule="auto"/>
              <w:rPr>
                <w:rFonts w:hint="eastAsia" w:ascii="仿宋" w:hAnsi="仿宋" w:eastAsia="仿宋" w:cs="仿宋"/>
                <w:szCs w:val="21"/>
                <w:highlight w:val="none"/>
              </w:rPr>
            </w:pPr>
            <w:r>
              <w:rPr>
                <w:rFonts w:hint="eastAsia" w:ascii="仿宋" w:hAnsi="仿宋" w:eastAsia="仿宋" w:cs="仿宋"/>
                <w:szCs w:val="21"/>
                <w:highlight w:val="none"/>
              </w:rPr>
              <w:t>第四个档次（2分）：售后服务能力差，售后服务体系完整度及保障性一般，售后服务方案、承诺及保证基本可行，但缺乏针对性；</w:t>
            </w:r>
          </w:p>
          <w:p>
            <w:pPr>
              <w:tabs>
                <w:tab w:val="left" w:pos="540"/>
              </w:tabs>
              <w:adjustRightInd w:val="0"/>
              <w:spacing w:line="360" w:lineRule="auto"/>
              <w:rPr>
                <w:rFonts w:hint="eastAsia" w:ascii="仿宋" w:hAnsi="仿宋" w:eastAsia="仿宋" w:cs="仿宋"/>
                <w:szCs w:val="21"/>
                <w:highlight w:val="none"/>
              </w:rPr>
            </w:pPr>
            <w:r>
              <w:rPr>
                <w:rFonts w:hint="eastAsia" w:ascii="仿宋" w:hAnsi="仿宋" w:eastAsia="仿宋" w:cs="仿宋"/>
                <w:szCs w:val="21"/>
                <w:highlight w:val="none"/>
              </w:rPr>
              <w:t>第五个档次（</w:t>
            </w:r>
            <w:r>
              <w:rPr>
                <w:rFonts w:hint="eastAsia" w:ascii="仿宋" w:hAnsi="仿宋" w:eastAsia="仿宋" w:cs="仿宋"/>
                <w:szCs w:val="21"/>
                <w:highlight w:val="none"/>
                <w:lang w:val="en-US" w:eastAsia="zh-CN"/>
              </w:rPr>
              <w:t>0</w:t>
            </w:r>
            <w:r>
              <w:rPr>
                <w:rFonts w:hint="eastAsia" w:ascii="仿宋" w:hAnsi="仿宋" w:eastAsia="仿宋" w:cs="仿宋"/>
                <w:szCs w:val="21"/>
                <w:highlight w:val="none"/>
              </w:rPr>
              <w:t>分）：售后服务能力较差，售后服务体系完整度及保障性差，售后服务方案、承诺及保证基没有针对性；</w:t>
            </w:r>
          </w:p>
          <w:p>
            <w:pPr>
              <w:spacing w:line="360" w:lineRule="auto"/>
              <w:rPr>
                <w:rFonts w:hint="eastAsia" w:ascii="仿宋" w:hAnsi="仿宋" w:eastAsia="仿宋" w:cs="仿宋"/>
                <w:b/>
                <w:bCs/>
                <w:szCs w:val="21"/>
                <w:highlight w:val="none"/>
              </w:rPr>
            </w:pPr>
            <w:r>
              <w:rPr>
                <w:rFonts w:hint="eastAsia" w:ascii="仿宋" w:hAnsi="仿宋" w:eastAsia="仿宋" w:cs="仿宋"/>
                <w:b/>
                <w:bCs/>
                <w:szCs w:val="21"/>
                <w:highlight w:val="none"/>
                <w:lang w:val="en-US" w:eastAsia="zh-CN"/>
              </w:rPr>
              <w:t>3.</w:t>
            </w:r>
            <w:r>
              <w:rPr>
                <w:rFonts w:hint="eastAsia" w:ascii="仿宋" w:hAnsi="仿宋" w:eastAsia="仿宋" w:cs="仿宋"/>
                <w:b/>
                <w:bCs/>
                <w:szCs w:val="21"/>
                <w:highlight w:val="none"/>
              </w:rPr>
              <w:t>投标人具备互联网安全管理服务平台（5分）</w:t>
            </w:r>
          </w:p>
          <w:p>
            <w:pPr>
              <w:pStyle w:val="2"/>
              <w:numPr>
                <w:ilvl w:val="0"/>
                <w:numId w:val="0"/>
              </w:numPr>
              <w:tabs>
                <w:tab w:val="clear" w:pos="360"/>
              </w:tabs>
              <w:ind w:left="284" w:leftChars="0" w:hanging="284" w:firstLineChars="0"/>
              <w:rPr>
                <w:rFonts w:hint="eastAsia" w:ascii="仿宋" w:hAnsi="仿宋" w:eastAsia="仿宋" w:cs="仿宋"/>
                <w:b w:val="0"/>
                <w:spacing w:val="0"/>
                <w:kern w:val="2"/>
                <w:sz w:val="21"/>
                <w:szCs w:val="21"/>
                <w:highlight w:val="none"/>
                <w:lang w:val="en-US" w:eastAsia="zh-CN" w:bidi="ar-SA"/>
              </w:rPr>
            </w:pPr>
            <w:bookmarkStart w:id="393" w:name="_Toc6648"/>
            <w:r>
              <w:rPr>
                <w:rFonts w:hint="eastAsia" w:ascii="仿宋" w:hAnsi="仿宋" w:eastAsia="仿宋" w:cs="仿宋"/>
                <w:b w:val="0"/>
                <w:spacing w:val="0"/>
                <w:kern w:val="2"/>
                <w:sz w:val="21"/>
                <w:szCs w:val="21"/>
                <w:highlight w:val="none"/>
                <w:lang w:val="en-US" w:eastAsia="zh-CN" w:bidi="ar-SA"/>
              </w:rPr>
              <w:t>投标人具备互联网安全管理服务平台，可提供全国互联网安全管理</w:t>
            </w:r>
            <w:bookmarkEnd w:id="393"/>
          </w:p>
          <w:p>
            <w:pPr>
              <w:pStyle w:val="2"/>
              <w:numPr>
                <w:ilvl w:val="0"/>
                <w:numId w:val="0"/>
              </w:numPr>
              <w:tabs>
                <w:tab w:val="clear" w:pos="360"/>
              </w:tabs>
              <w:ind w:left="284" w:leftChars="0" w:hanging="284" w:firstLineChars="0"/>
              <w:jc w:val="both"/>
              <w:rPr>
                <w:rFonts w:hint="eastAsia" w:ascii="仿宋" w:hAnsi="仿宋" w:eastAsia="仿宋" w:cs="仿宋"/>
                <w:b w:val="0"/>
                <w:spacing w:val="0"/>
                <w:kern w:val="2"/>
                <w:sz w:val="21"/>
                <w:szCs w:val="21"/>
                <w:highlight w:val="none"/>
                <w:lang w:val="en-US" w:eastAsia="zh-CN" w:bidi="ar-SA"/>
              </w:rPr>
            </w:pPr>
            <w:bookmarkStart w:id="394" w:name="_Toc7435"/>
            <w:r>
              <w:rPr>
                <w:rFonts w:hint="eastAsia" w:ascii="仿宋" w:hAnsi="仿宋" w:eastAsia="仿宋" w:cs="仿宋"/>
                <w:b w:val="0"/>
                <w:spacing w:val="0"/>
                <w:kern w:val="2"/>
                <w:sz w:val="21"/>
                <w:szCs w:val="21"/>
                <w:highlight w:val="none"/>
                <w:lang w:val="en-US" w:eastAsia="zh-CN" w:bidi="ar-SA"/>
              </w:rPr>
              <w:t>服务平台联网备案截图的得5分，不具备的不得分。</w:t>
            </w:r>
            <w:bookmarkEnd w:id="394"/>
          </w:p>
          <w:p>
            <w:pPr>
              <w:spacing w:line="360" w:lineRule="auto"/>
              <w:rPr>
                <w:rFonts w:hint="eastAsia" w:ascii="仿宋" w:hAnsi="仿宋" w:eastAsia="仿宋" w:cs="仿宋"/>
                <w:b/>
                <w:bCs/>
                <w:szCs w:val="21"/>
                <w:highlight w:val="none"/>
                <w:lang w:val="en-US" w:eastAsia="zh-CN"/>
              </w:rPr>
            </w:pPr>
            <w:r>
              <w:rPr>
                <w:rFonts w:hint="eastAsia" w:ascii="仿宋" w:hAnsi="仿宋" w:eastAsia="仿宋" w:cs="仿宋"/>
                <w:b/>
                <w:bCs/>
                <w:szCs w:val="21"/>
                <w:highlight w:val="none"/>
                <w:lang w:val="en-US" w:eastAsia="zh-CN"/>
              </w:rPr>
              <w:t>4.投标人提供业务管理信息系统安全等级证书（5分）</w:t>
            </w:r>
          </w:p>
          <w:p>
            <w:pPr>
              <w:rPr>
                <w:rFonts w:hint="eastAsia" w:ascii="仿宋" w:hAnsi="仿宋" w:eastAsia="仿宋" w:cs="仿宋"/>
                <w:b w:val="0"/>
                <w:spacing w:val="0"/>
                <w:kern w:val="2"/>
                <w:sz w:val="21"/>
                <w:szCs w:val="21"/>
                <w:highlight w:val="none"/>
                <w:lang w:val="en-US" w:eastAsia="zh-CN" w:bidi="ar-SA"/>
              </w:rPr>
            </w:pPr>
            <w:r>
              <w:rPr>
                <w:rFonts w:hint="eastAsia" w:ascii="仿宋" w:hAnsi="仿宋" w:eastAsia="仿宋" w:cs="仿宋"/>
                <w:b w:val="0"/>
                <w:spacing w:val="0"/>
                <w:kern w:val="2"/>
                <w:sz w:val="21"/>
                <w:szCs w:val="21"/>
                <w:highlight w:val="none"/>
                <w:lang w:val="en-US" w:eastAsia="zh-CN" w:bidi="ar-SA"/>
              </w:rPr>
              <w:t>1.投标人的业务管理信息系统获得国家网络安全等级保护认证，提供等级证书的得5分；</w:t>
            </w:r>
          </w:p>
          <w:p>
            <w:pPr>
              <w:rPr>
                <w:rFonts w:hint="eastAsia" w:ascii="仿宋" w:hAnsi="仿宋" w:eastAsia="仿宋" w:cs="仿宋"/>
                <w:b w:val="0"/>
                <w:spacing w:val="0"/>
                <w:kern w:val="2"/>
                <w:sz w:val="21"/>
                <w:szCs w:val="21"/>
                <w:highlight w:val="none"/>
                <w:lang w:val="en-US" w:eastAsia="zh-CN" w:bidi="ar-SA"/>
              </w:rPr>
            </w:pPr>
            <w:r>
              <w:rPr>
                <w:rFonts w:hint="eastAsia" w:ascii="仿宋" w:hAnsi="仿宋" w:eastAsia="仿宋" w:cs="仿宋"/>
                <w:b w:val="0"/>
                <w:spacing w:val="0"/>
                <w:kern w:val="2"/>
                <w:sz w:val="21"/>
                <w:szCs w:val="21"/>
                <w:highlight w:val="none"/>
                <w:lang w:val="en-US" w:eastAsia="zh-CN" w:bidi="ar-SA"/>
              </w:rPr>
              <w:t>2.未提供等级证书，但承诺在2024年10月之前取得等级保护证书的得2分。</w:t>
            </w:r>
          </w:p>
          <w:p>
            <w:pPr>
              <w:rPr>
                <w:rFonts w:hint="eastAsia" w:ascii="仿宋" w:hAnsi="仿宋" w:eastAsia="仿宋" w:cs="仿宋"/>
                <w:b w:val="0"/>
                <w:spacing w:val="0"/>
                <w:kern w:val="2"/>
                <w:sz w:val="21"/>
                <w:szCs w:val="21"/>
                <w:highlight w:val="none"/>
                <w:lang w:val="en-US" w:eastAsia="zh-CN" w:bidi="ar-SA"/>
              </w:rPr>
            </w:pPr>
            <w:r>
              <w:rPr>
                <w:rFonts w:hint="eastAsia" w:ascii="仿宋" w:hAnsi="仿宋" w:eastAsia="仿宋" w:cs="仿宋"/>
                <w:b w:val="0"/>
                <w:spacing w:val="0"/>
                <w:kern w:val="2"/>
                <w:sz w:val="21"/>
                <w:szCs w:val="21"/>
                <w:highlight w:val="none"/>
                <w:lang w:val="en-US" w:eastAsia="zh-CN" w:bidi="ar-SA"/>
              </w:rPr>
              <w:t>3.既未提供证书，也未进行承诺的不得分。</w:t>
            </w:r>
          </w:p>
          <w:p>
            <w:pPr>
              <w:spacing w:line="360" w:lineRule="auto"/>
              <w:rPr>
                <w:rFonts w:hint="eastAsia" w:ascii="仿宋" w:hAnsi="仿宋" w:eastAsia="仿宋" w:cs="仿宋"/>
                <w:b/>
                <w:bCs/>
                <w:szCs w:val="21"/>
                <w:highlight w:val="none"/>
              </w:rPr>
            </w:pPr>
            <w:r>
              <w:rPr>
                <w:rFonts w:hint="eastAsia" w:ascii="仿宋" w:hAnsi="仿宋" w:eastAsia="仿宋" w:cs="仿宋"/>
                <w:b/>
                <w:bCs/>
                <w:szCs w:val="21"/>
                <w:highlight w:val="none"/>
                <w:lang w:val="en-US" w:eastAsia="zh-CN"/>
              </w:rPr>
              <w:t>5.</w:t>
            </w:r>
            <w:r>
              <w:rPr>
                <w:rFonts w:hint="eastAsia" w:ascii="仿宋" w:hAnsi="仿宋" w:eastAsia="仿宋" w:cs="仿宋"/>
                <w:b/>
                <w:bCs/>
                <w:szCs w:val="21"/>
                <w:highlight w:val="none"/>
              </w:rPr>
              <w:t>类似业绩评审评分（满分</w:t>
            </w:r>
            <w:r>
              <w:rPr>
                <w:rFonts w:hint="eastAsia" w:ascii="仿宋" w:hAnsi="仿宋" w:eastAsia="仿宋" w:cs="仿宋"/>
                <w:b/>
                <w:bCs/>
                <w:szCs w:val="21"/>
                <w:highlight w:val="none"/>
                <w:lang w:val="en-US" w:eastAsia="zh-CN"/>
              </w:rPr>
              <w:t>10</w:t>
            </w:r>
            <w:r>
              <w:rPr>
                <w:rFonts w:hint="eastAsia" w:ascii="仿宋" w:hAnsi="仿宋" w:eastAsia="仿宋" w:cs="仿宋"/>
                <w:b/>
                <w:bCs/>
                <w:szCs w:val="21"/>
                <w:highlight w:val="none"/>
              </w:rPr>
              <w:t>分）</w:t>
            </w:r>
          </w:p>
          <w:p>
            <w:pPr>
              <w:spacing w:line="360" w:lineRule="auto"/>
              <w:rPr>
                <w:rFonts w:hint="eastAsia" w:ascii="仿宋" w:hAnsi="仿宋" w:eastAsia="仿宋" w:cs="仿宋"/>
                <w:szCs w:val="21"/>
                <w:highlight w:val="none"/>
              </w:rPr>
            </w:pPr>
            <w:r>
              <w:rPr>
                <w:rFonts w:hint="eastAsia" w:ascii="仿宋" w:hAnsi="仿宋" w:eastAsia="仿宋" w:cs="仿宋"/>
                <w:szCs w:val="21"/>
                <w:highlight w:val="none"/>
              </w:rPr>
              <w:t>根据投标人（</w:t>
            </w:r>
            <w:r>
              <w:rPr>
                <w:rFonts w:hint="eastAsia" w:ascii="仿宋" w:hAnsi="仿宋" w:eastAsia="仿宋" w:cs="仿宋"/>
                <w:szCs w:val="21"/>
                <w:highlight w:val="none"/>
                <w:lang w:val="en-US" w:eastAsia="zh-CN"/>
              </w:rPr>
              <w:t>2021年至</w:t>
            </w:r>
            <w:r>
              <w:rPr>
                <w:rFonts w:hint="eastAsia" w:ascii="仿宋" w:hAnsi="仿宋" w:eastAsia="仿宋" w:cs="仿宋"/>
                <w:szCs w:val="21"/>
                <w:highlight w:val="none"/>
              </w:rPr>
              <w:t>本项目</w:t>
            </w:r>
            <w:r>
              <w:rPr>
                <w:rFonts w:hint="eastAsia" w:ascii="仿宋" w:hAnsi="仿宋" w:eastAsia="仿宋" w:cs="仿宋"/>
                <w:szCs w:val="21"/>
                <w:highlight w:val="none"/>
                <w:lang w:val="en-US" w:eastAsia="zh-CN"/>
              </w:rPr>
              <w:t>响应</w:t>
            </w:r>
            <w:r>
              <w:rPr>
                <w:rFonts w:hint="eastAsia" w:ascii="仿宋" w:hAnsi="仿宋" w:eastAsia="仿宋" w:cs="仿宋"/>
                <w:szCs w:val="21"/>
                <w:highlight w:val="none"/>
              </w:rPr>
              <w:t>文件提交截止时间前）类似业绩进行打分，每提供一项业绩得1分，最高得10分。未提供业绩列表及相关证明材料的不得分。</w:t>
            </w:r>
          </w:p>
          <w:p>
            <w:pPr>
              <w:tabs>
                <w:tab w:val="left" w:pos="540"/>
              </w:tabs>
              <w:adjustRightInd w:val="0"/>
              <w:spacing w:line="360" w:lineRule="auto"/>
              <w:rPr>
                <w:rFonts w:hint="eastAsia" w:ascii="仿宋" w:hAnsi="仿宋" w:eastAsia="仿宋" w:cs="仿宋"/>
                <w:bCs/>
                <w:szCs w:val="21"/>
                <w:highlight w:val="none"/>
              </w:rPr>
            </w:pPr>
            <w:r>
              <w:rPr>
                <w:rFonts w:hint="eastAsia" w:ascii="仿宋" w:hAnsi="仿宋" w:eastAsia="仿宋" w:cs="仿宋"/>
                <w:szCs w:val="21"/>
                <w:highlight w:val="none"/>
              </w:rPr>
              <w:t>注：</w:t>
            </w:r>
            <w:r>
              <w:rPr>
                <w:rFonts w:hint="eastAsia" w:ascii="仿宋" w:hAnsi="仿宋" w:eastAsia="仿宋" w:cs="仿宋"/>
                <w:szCs w:val="21"/>
                <w:highlight w:val="none"/>
                <w:lang w:eastAsia="zh-CN"/>
              </w:rPr>
              <w:t>响应文件</w:t>
            </w:r>
            <w:r>
              <w:rPr>
                <w:rFonts w:hint="eastAsia" w:ascii="仿宋" w:hAnsi="仿宋" w:eastAsia="仿宋" w:cs="仿宋"/>
                <w:szCs w:val="21"/>
                <w:highlight w:val="none"/>
              </w:rPr>
              <w:t>中须提供业绩列表及相对应的业绩证明材料，业绩证明材料为中标通知书或合同（合同首页、标的及金额所在页及合同签字盖章页加盖公章）。无证明材料或证明材料不明确、无法体现业绩内容的，不予认可。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0" w:hRule="atLeast"/>
          <w:jc w:val="center"/>
        </w:trPr>
        <w:tc>
          <w:tcPr>
            <w:tcW w:w="9867" w:type="dxa"/>
            <w:gridSpan w:val="4"/>
            <w:vAlign w:val="center"/>
          </w:tcPr>
          <w:p>
            <w:pPr>
              <w:tabs>
                <w:tab w:val="left" w:pos="540"/>
              </w:tabs>
              <w:adjustRightInd w:val="0"/>
              <w:spacing w:line="360" w:lineRule="auto"/>
              <w:rPr>
                <w:rFonts w:hint="eastAsia" w:ascii="仿宋" w:hAnsi="仿宋" w:eastAsia="仿宋" w:cs="仿宋"/>
                <w:szCs w:val="21"/>
                <w:highlight w:val="none"/>
              </w:rPr>
            </w:pPr>
            <w:r>
              <w:rPr>
                <w:rFonts w:hint="eastAsia" w:ascii="仿宋" w:hAnsi="仿宋" w:eastAsia="仿宋" w:cs="仿宋"/>
                <w:snapToGrid w:val="0"/>
                <w:kern w:val="21"/>
                <w:sz w:val="21"/>
                <w:szCs w:val="21"/>
              </w:rPr>
              <w:t>响应单位各项评分因素得分为该项因素各成员评分的算术平均值（保留小数点后两位），小数点后第三位“四舍五入”。</w:t>
            </w:r>
          </w:p>
        </w:tc>
      </w:tr>
    </w:tbl>
    <w:p>
      <w:pPr>
        <w:rPr>
          <w:rFonts w:hint="eastAsia" w:ascii="仿宋" w:hAnsi="仿宋" w:eastAsia="仿宋" w:cs="仿宋"/>
          <w:b/>
          <w:bCs/>
          <w:color w:val="auto"/>
          <w:sz w:val="24"/>
          <w:szCs w:val="24"/>
          <w:highlight w:val="none"/>
        </w:rPr>
      </w:pPr>
    </w:p>
    <w:p>
      <w:pPr>
        <w:outlineLvl w:val="2"/>
        <w:rPr>
          <w:rFonts w:hint="eastAsia" w:ascii="仿宋" w:hAnsi="仿宋" w:eastAsia="仿宋" w:cs="仿宋"/>
          <w:b/>
          <w:bCs/>
          <w:color w:val="auto"/>
          <w:sz w:val="24"/>
          <w:szCs w:val="24"/>
          <w:highlight w:val="none"/>
        </w:rPr>
      </w:pPr>
      <w:bookmarkStart w:id="395" w:name="_Toc22817"/>
      <w:r>
        <w:rPr>
          <w:rFonts w:hint="eastAsia" w:ascii="仿宋" w:hAnsi="仿宋" w:eastAsia="仿宋" w:cs="仿宋"/>
          <w:b/>
          <w:bCs/>
          <w:color w:val="auto"/>
          <w:sz w:val="24"/>
          <w:szCs w:val="24"/>
          <w:highlight w:val="none"/>
        </w:rPr>
        <w:t>1.比选方法：</w:t>
      </w:r>
      <w:bookmarkEnd w:id="385"/>
      <w:bookmarkEnd w:id="386"/>
      <w:bookmarkEnd w:id="387"/>
      <w:bookmarkEnd w:id="388"/>
      <w:bookmarkEnd w:id="389"/>
      <w:bookmarkEnd w:id="390"/>
      <w:bookmarkEnd w:id="391"/>
      <w:bookmarkEnd w:id="395"/>
    </w:p>
    <w:p>
      <w:pPr>
        <w:tabs>
          <w:tab w:val="left" w:pos="2472"/>
        </w:tabs>
        <w:adjustRightInd w:val="0"/>
        <w:spacing w:line="500" w:lineRule="exact"/>
        <w:ind w:firstLine="442" w:firstLineChars="200"/>
        <w:jc w:val="left"/>
        <w:rPr>
          <w:rFonts w:hint="eastAsia" w:ascii="仿宋" w:hAnsi="仿宋" w:eastAsia="仿宋" w:cs="仿宋"/>
          <w:color w:val="auto"/>
          <w:kern w:val="0"/>
          <w:sz w:val="22"/>
          <w:szCs w:val="22"/>
          <w:highlight w:val="none"/>
        </w:rPr>
      </w:pPr>
      <w:r>
        <w:rPr>
          <w:rFonts w:hint="eastAsia" w:ascii="仿宋" w:hAnsi="仿宋" w:eastAsia="仿宋" w:cs="仿宋"/>
          <w:b/>
          <w:color w:val="auto"/>
          <w:kern w:val="0"/>
          <w:sz w:val="22"/>
          <w:szCs w:val="22"/>
          <w:highlight w:val="none"/>
        </w:rPr>
        <w:t>1.1本次比选采用综合评分法。</w:t>
      </w:r>
      <w:r>
        <w:rPr>
          <w:rFonts w:hint="eastAsia" w:ascii="仿宋" w:hAnsi="仿宋" w:eastAsia="仿宋" w:cs="仿宋"/>
          <w:color w:val="auto"/>
          <w:kern w:val="0"/>
          <w:sz w:val="22"/>
          <w:szCs w:val="22"/>
          <w:highlight w:val="none"/>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w:t>
      </w:r>
      <w:r>
        <w:rPr>
          <w:rFonts w:hint="eastAsia" w:ascii="仿宋" w:hAnsi="仿宋" w:eastAsia="仿宋" w:cs="仿宋"/>
          <w:color w:val="auto"/>
          <w:kern w:val="0"/>
          <w:sz w:val="22"/>
          <w:szCs w:val="22"/>
          <w:highlight w:val="none"/>
          <w:lang w:eastAsia="zh-CN"/>
        </w:rPr>
        <w:t>，</w:t>
      </w:r>
      <w:r>
        <w:rPr>
          <w:rFonts w:hint="eastAsia" w:ascii="仿宋" w:hAnsi="仿宋" w:eastAsia="仿宋" w:cs="仿宋"/>
          <w:color w:val="auto"/>
          <w:kern w:val="0"/>
          <w:sz w:val="22"/>
          <w:szCs w:val="22"/>
          <w:highlight w:val="none"/>
          <w:lang w:val="en-US" w:eastAsia="zh-CN"/>
        </w:rPr>
        <w:t>若最终排名仍一致时，由比选小组不记名投票决定中标候选单位排序</w:t>
      </w:r>
      <w:r>
        <w:rPr>
          <w:rFonts w:hint="eastAsia" w:ascii="仿宋" w:hAnsi="仿宋" w:eastAsia="仿宋" w:cs="仿宋"/>
          <w:color w:val="auto"/>
          <w:kern w:val="0"/>
          <w:sz w:val="22"/>
          <w:szCs w:val="22"/>
          <w:highlight w:val="none"/>
        </w:rPr>
        <w:t>。</w:t>
      </w:r>
    </w:p>
    <w:p>
      <w:pPr>
        <w:spacing w:line="500" w:lineRule="exact"/>
        <w:ind w:firstLine="442" w:firstLineChars="200"/>
        <w:rPr>
          <w:rFonts w:hint="eastAsia" w:ascii="仿宋" w:hAnsi="仿宋" w:eastAsia="仿宋" w:cs="仿宋"/>
          <w:b/>
          <w:color w:val="auto"/>
          <w:sz w:val="22"/>
          <w:szCs w:val="22"/>
          <w:highlight w:val="none"/>
        </w:rPr>
      </w:pPr>
      <w:r>
        <w:rPr>
          <w:rFonts w:hint="eastAsia" w:ascii="仿宋" w:hAnsi="仿宋" w:eastAsia="仿宋" w:cs="仿宋"/>
          <w:b/>
          <w:color w:val="auto"/>
          <w:sz w:val="22"/>
          <w:szCs w:val="22"/>
          <w:highlight w:val="none"/>
        </w:rPr>
        <w:t>1.2比选小组及其成员不得有下列行为，否则其评审意见无效，并不得获取评审劳务报酬和报销异地评审差旅费：</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b/>
          <w:color w:val="auto"/>
          <w:sz w:val="22"/>
          <w:szCs w:val="22"/>
          <w:highlight w:val="none"/>
        </w:rPr>
        <w:t>　　</w:t>
      </w:r>
      <w:r>
        <w:rPr>
          <w:rFonts w:hint="eastAsia" w:ascii="仿宋" w:hAnsi="仿宋" w:eastAsia="仿宋" w:cs="仿宋"/>
          <w:color w:val="auto"/>
          <w:sz w:val="22"/>
          <w:szCs w:val="22"/>
          <w:highlight w:val="none"/>
        </w:rPr>
        <w:t>（一）确定参与评标至评标结束前私自接触投标人；</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（二）接受投标人提出的与响应文件不一致的澄清或者说明</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（三）违反评标纪律发表倾向性意见或者征询招标人的倾向性意见；</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（四）对需要专业判断的主观评审因素协商评分；</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（五）在评标过程中擅离职守，影响评标程序正常进行的；</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（六）记录、复制或者带走任何评标资料；</w:t>
      </w:r>
    </w:p>
    <w:p>
      <w:pPr>
        <w:spacing w:line="500" w:lineRule="exact"/>
        <w:rPr>
          <w:rFonts w:hint="eastAsia" w:ascii="仿宋" w:hAnsi="仿宋" w:eastAsia="仿宋" w:cs="仿宋"/>
          <w:bCs/>
          <w:color w:val="auto"/>
          <w:sz w:val="20"/>
          <w:szCs w:val="22"/>
          <w:highlight w:val="none"/>
        </w:rPr>
      </w:pPr>
      <w:r>
        <w:rPr>
          <w:rFonts w:hint="eastAsia" w:ascii="仿宋" w:hAnsi="仿宋" w:eastAsia="仿宋" w:cs="仿宋"/>
          <w:color w:val="auto"/>
          <w:sz w:val="22"/>
          <w:szCs w:val="22"/>
          <w:highlight w:val="none"/>
        </w:rPr>
        <w:t>　 （七）其他不遵守评标纪律的行为。</w:t>
      </w:r>
    </w:p>
    <w:p>
      <w:pPr>
        <w:pStyle w:val="4"/>
        <w:numPr>
          <w:ilvl w:val="0"/>
          <w:numId w:val="0"/>
        </w:numPr>
        <w:tabs>
          <w:tab w:val="left" w:pos="1021"/>
          <w:tab w:val="clear" w:pos="1588"/>
        </w:tabs>
        <w:spacing w:before="0" w:after="0" w:line="500" w:lineRule="exact"/>
        <w:jc w:val="both"/>
        <w:rPr>
          <w:rFonts w:hint="eastAsia" w:ascii="仿宋" w:hAnsi="仿宋" w:eastAsia="仿宋" w:cs="仿宋"/>
          <w:color w:val="auto"/>
          <w:sz w:val="24"/>
          <w:szCs w:val="24"/>
          <w:highlight w:val="none"/>
        </w:rPr>
      </w:pPr>
      <w:bookmarkStart w:id="396" w:name="_Toc19148"/>
      <w:bookmarkStart w:id="397" w:name="_Toc20548"/>
      <w:bookmarkStart w:id="398" w:name="_Toc8953"/>
      <w:bookmarkStart w:id="399" w:name="_Toc1475"/>
      <w:bookmarkStart w:id="400" w:name="_Toc19732"/>
      <w:bookmarkStart w:id="401" w:name="_Toc14048"/>
      <w:bookmarkStart w:id="402" w:name="_Toc24149"/>
      <w:bookmarkStart w:id="403" w:name="_Toc13693"/>
      <w:r>
        <w:rPr>
          <w:rFonts w:hint="eastAsia" w:ascii="仿宋" w:hAnsi="仿宋" w:eastAsia="仿宋" w:cs="仿宋"/>
          <w:color w:val="auto"/>
          <w:sz w:val="24"/>
          <w:szCs w:val="24"/>
          <w:highlight w:val="none"/>
        </w:rPr>
        <w:t>2.评审标准</w:t>
      </w:r>
      <w:bookmarkEnd w:id="396"/>
      <w:bookmarkEnd w:id="397"/>
      <w:bookmarkEnd w:id="398"/>
      <w:bookmarkEnd w:id="399"/>
      <w:bookmarkEnd w:id="400"/>
      <w:bookmarkEnd w:id="401"/>
      <w:bookmarkEnd w:id="402"/>
      <w:bookmarkEnd w:id="403"/>
    </w:p>
    <w:p>
      <w:pPr>
        <w:tabs>
          <w:tab w:val="left" w:pos="2472"/>
        </w:tabs>
        <w:autoSpaceDE w:val="0"/>
        <w:autoSpaceDN w:val="0"/>
        <w:adjustRightInd w:val="0"/>
        <w:spacing w:line="500" w:lineRule="exact"/>
        <w:jc w:val="left"/>
        <w:rPr>
          <w:rFonts w:hint="eastAsia" w:ascii="仿宋" w:hAnsi="仿宋" w:eastAsia="仿宋" w:cs="仿宋"/>
          <w:color w:val="auto"/>
          <w:kern w:val="0"/>
          <w:sz w:val="18"/>
          <w:szCs w:val="22"/>
          <w:highlight w:val="none"/>
        </w:rPr>
      </w:pPr>
      <w:r>
        <w:rPr>
          <w:rFonts w:hint="eastAsia" w:ascii="仿宋" w:hAnsi="仿宋" w:eastAsia="仿宋" w:cs="仿宋"/>
          <w:b/>
          <w:bCs/>
          <w:color w:val="auto"/>
          <w:kern w:val="0"/>
          <w:sz w:val="22"/>
          <w:szCs w:val="22"/>
          <w:highlight w:val="none"/>
        </w:rPr>
        <w:t>2.1实质性要求审查标准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实质性要求审查标准：依据法律法规和比选文件的规定，对响应文件中的资格证明等实质性要求审查标准进行审查，见“评审程序和方法前附表”。</w:t>
      </w:r>
    </w:p>
    <w:p>
      <w:pPr>
        <w:tabs>
          <w:tab w:val="left" w:pos="2472"/>
        </w:tabs>
        <w:autoSpaceDE w:val="0"/>
        <w:autoSpaceDN w:val="0"/>
        <w:adjustRightInd w:val="0"/>
        <w:spacing w:line="500" w:lineRule="exact"/>
        <w:jc w:val="left"/>
        <w:rPr>
          <w:rFonts w:hint="eastAsia" w:ascii="仿宋" w:hAnsi="仿宋" w:eastAsia="仿宋" w:cs="仿宋"/>
          <w:b/>
          <w:bCs/>
          <w:color w:val="auto"/>
          <w:kern w:val="0"/>
          <w:sz w:val="22"/>
          <w:szCs w:val="22"/>
          <w:highlight w:val="none"/>
        </w:rPr>
      </w:pPr>
      <w:r>
        <w:rPr>
          <w:rFonts w:hint="eastAsia" w:ascii="仿宋" w:hAnsi="仿宋" w:eastAsia="仿宋" w:cs="仿宋"/>
          <w:b/>
          <w:bCs/>
          <w:color w:val="auto"/>
          <w:kern w:val="0"/>
          <w:sz w:val="22"/>
          <w:szCs w:val="22"/>
          <w:highlight w:val="none"/>
        </w:rPr>
        <w:t>2.2 分值构成与评分标准</w:t>
      </w:r>
      <w:r>
        <w:rPr>
          <w:rFonts w:hint="eastAsia" w:ascii="仿宋" w:hAnsi="仿宋" w:eastAsia="仿宋" w:cs="仿宋"/>
          <w:b/>
          <w:bCs/>
          <w:color w:val="auto"/>
          <w:kern w:val="0"/>
          <w:sz w:val="22"/>
          <w:szCs w:val="22"/>
          <w:highlight w:val="none"/>
          <w:lang w:eastAsia="zh-CN"/>
        </w:rPr>
        <w:t>：</w:t>
      </w:r>
      <w:r>
        <w:rPr>
          <w:rFonts w:hint="eastAsia" w:ascii="仿宋" w:hAnsi="仿宋" w:eastAsia="仿宋" w:cs="仿宋"/>
          <w:color w:val="auto"/>
          <w:kern w:val="0"/>
          <w:sz w:val="22"/>
          <w:szCs w:val="22"/>
          <w:highlight w:val="none"/>
        </w:rPr>
        <w:t>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b w:val="0"/>
          <w:bCs w:val="0"/>
          <w:color w:val="auto"/>
          <w:kern w:val="0"/>
          <w:sz w:val="22"/>
          <w:szCs w:val="22"/>
          <w:highlight w:val="none"/>
          <w:lang w:val="en-US" w:eastAsia="zh-CN"/>
        </w:rPr>
        <w:t xml:space="preserve">2.2.1 </w:t>
      </w:r>
      <w:r>
        <w:rPr>
          <w:rFonts w:hint="eastAsia" w:ascii="仿宋" w:hAnsi="仿宋" w:eastAsia="仿宋" w:cs="仿宋"/>
          <w:b w:val="0"/>
          <w:bCs w:val="0"/>
          <w:color w:val="auto"/>
          <w:kern w:val="0"/>
          <w:sz w:val="22"/>
          <w:szCs w:val="22"/>
          <w:highlight w:val="none"/>
        </w:rPr>
        <w:t>分值构成与评分标准</w:t>
      </w:r>
      <w:r>
        <w:rPr>
          <w:rFonts w:hint="eastAsia" w:ascii="仿宋" w:hAnsi="仿宋" w:eastAsia="仿宋" w:cs="仿宋"/>
          <w:b w:val="0"/>
          <w:bCs w:val="0"/>
          <w:color w:val="auto"/>
          <w:kern w:val="0"/>
          <w:sz w:val="22"/>
          <w:szCs w:val="22"/>
          <w:highlight w:val="none"/>
          <w:lang w:eastAsia="zh-CN"/>
        </w:rPr>
        <w:t>：</w:t>
      </w:r>
      <w:r>
        <w:rPr>
          <w:rFonts w:hint="eastAsia" w:ascii="仿宋" w:hAnsi="仿宋" w:eastAsia="仿宋" w:cs="仿宋"/>
          <w:color w:val="auto"/>
          <w:kern w:val="0"/>
          <w:sz w:val="22"/>
          <w:szCs w:val="22"/>
          <w:highlight w:val="none"/>
        </w:rPr>
        <w:t>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2.2.2 评标基准价计算方法：见评审程序和方法前附表。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2.2.3 评分标准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按比选文件中规定的评审方法和标准，对实质性要求审查标准合格的响应文件进行商务和技术评估，综合比较与评价。</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w:t>
      </w:r>
      <w:r>
        <w:rPr>
          <w:rFonts w:hint="eastAsia" w:ascii="仿宋" w:hAnsi="仿宋" w:eastAsia="仿宋" w:cs="仿宋"/>
          <w:color w:val="auto"/>
          <w:kern w:val="0"/>
          <w:sz w:val="22"/>
          <w:szCs w:val="22"/>
          <w:highlight w:val="none"/>
          <w:lang w:val="en-US" w:eastAsia="zh-CN"/>
        </w:rPr>
        <w:t>1</w:t>
      </w:r>
      <w:r>
        <w:rPr>
          <w:rFonts w:hint="eastAsia" w:ascii="仿宋" w:hAnsi="仿宋" w:eastAsia="仿宋" w:cs="仿宋"/>
          <w:color w:val="auto"/>
          <w:kern w:val="0"/>
          <w:sz w:val="22"/>
          <w:szCs w:val="22"/>
          <w:highlight w:val="none"/>
        </w:rPr>
        <w:t>）技术部分评分标准：见</w:t>
      </w:r>
      <w:r>
        <w:rPr>
          <w:rFonts w:hint="eastAsia" w:ascii="仿宋" w:hAnsi="仿宋" w:eastAsia="仿宋" w:cs="仿宋"/>
          <w:color w:val="auto"/>
          <w:kern w:val="0"/>
          <w:sz w:val="22"/>
          <w:szCs w:val="22"/>
          <w:highlight w:val="none"/>
          <w:lang w:val="en-US" w:eastAsia="zh-CN"/>
        </w:rPr>
        <w:t>评分标准</w:t>
      </w:r>
      <w:r>
        <w:rPr>
          <w:rFonts w:hint="eastAsia" w:ascii="仿宋" w:hAnsi="仿宋" w:eastAsia="仿宋" w:cs="仿宋"/>
          <w:color w:val="auto"/>
          <w:kern w:val="0"/>
          <w:sz w:val="22"/>
          <w:szCs w:val="22"/>
          <w:highlight w:val="none"/>
        </w:rPr>
        <w:t>；</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w:t>
      </w:r>
      <w:r>
        <w:rPr>
          <w:rFonts w:hint="eastAsia" w:ascii="仿宋" w:hAnsi="仿宋" w:eastAsia="仿宋" w:cs="仿宋"/>
          <w:color w:val="auto"/>
          <w:kern w:val="0"/>
          <w:sz w:val="22"/>
          <w:szCs w:val="22"/>
          <w:highlight w:val="none"/>
          <w:lang w:val="en-US" w:eastAsia="zh-CN"/>
        </w:rPr>
        <w:t>2</w:t>
      </w:r>
      <w:r>
        <w:rPr>
          <w:rFonts w:hint="eastAsia" w:ascii="仿宋" w:hAnsi="仿宋" w:eastAsia="仿宋" w:cs="仿宋"/>
          <w:color w:val="auto"/>
          <w:kern w:val="0"/>
          <w:sz w:val="22"/>
          <w:szCs w:val="22"/>
          <w:highlight w:val="none"/>
        </w:rPr>
        <w:t>）</w:t>
      </w:r>
      <w:r>
        <w:rPr>
          <w:rFonts w:hint="eastAsia" w:ascii="仿宋" w:hAnsi="仿宋" w:eastAsia="仿宋" w:cs="仿宋"/>
          <w:color w:val="auto"/>
          <w:kern w:val="0"/>
          <w:sz w:val="22"/>
          <w:szCs w:val="22"/>
          <w:highlight w:val="none"/>
          <w:lang w:eastAsia="zh-CN"/>
        </w:rPr>
        <w:t>服务部分</w:t>
      </w:r>
      <w:r>
        <w:rPr>
          <w:rFonts w:hint="eastAsia" w:ascii="仿宋" w:hAnsi="仿宋" w:eastAsia="仿宋" w:cs="仿宋"/>
          <w:color w:val="auto"/>
          <w:kern w:val="0"/>
          <w:sz w:val="22"/>
          <w:szCs w:val="22"/>
          <w:highlight w:val="none"/>
        </w:rPr>
        <w:t>评分标准：见</w:t>
      </w:r>
      <w:r>
        <w:rPr>
          <w:rFonts w:hint="eastAsia" w:ascii="仿宋" w:hAnsi="仿宋" w:eastAsia="仿宋" w:cs="仿宋"/>
          <w:color w:val="auto"/>
          <w:kern w:val="0"/>
          <w:sz w:val="22"/>
          <w:szCs w:val="22"/>
          <w:highlight w:val="none"/>
          <w:lang w:val="en-US" w:eastAsia="zh-CN"/>
        </w:rPr>
        <w:t>评分标准</w:t>
      </w:r>
      <w:r>
        <w:rPr>
          <w:rFonts w:hint="eastAsia" w:ascii="仿宋" w:hAnsi="仿宋" w:eastAsia="仿宋" w:cs="仿宋"/>
          <w:color w:val="auto"/>
          <w:kern w:val="0"/>
          <w:sz w:val="22"/>
          <w:szCs w:val="22"/>
          <w:highlight w:val="none"/>
        </w:rPr>
        <w:t>。</w:t>
      </w:r>
    </w:p>
    <w:p>
      <w:pPr>
        <w:pStyle w:val="4"/>
        <w:numPr>
          <w:ilvl w:val="0"/>
          <w:numId w:val="0"/>
        </w:numPr>
        <w:tabs>
          <w:tab w:val="left" w:pos="1021"/>
          <w:tab w:val="clear" w:pos="1588"/>
        </w:tabs>
        <w:spacing w:before="0" w:after="0" w:line="500" w:lineRule="exact"/>
        <w:jc w:val="both"/>
        <w:rPr>
          <w:rFonts w:hint="eastAsia" w:ascii="仿宋" w:hAnsi="仿宋" w:eastAsia="仿宋" w:cs="仿宋"/>
          <w:color w:val="auto"/>
          <w:sz w:val="24"/>
          <w:szCs w:val="24"/>
          <w:highlight w:val="none"/>
        </w:rPr>
      </w:pPr>
      <w:bookmarkStart w:id="404" w:name="_Toc20939"/>
      <w:bookmarkStart w:id="405" w:name="_Toc3002"/>
      <w:bookmarkStart w:id="406" w:name="_Toc10274"/>
      <w:bookmarkStart w:id="407" w:name="_Toc5638"/>
      <w:bookmarkStart w:id="408" w:name="_Toc12149"/>
      <w:bookmarkStart w:id="409" w:name="_Toc465"/>
      <w:bookmarkStart w:id="410" w:name="_Toc26934"/>
      <w:bookmarkStart w:id="411" w:name="_Toc395"/>
      <w:r>
        <w:rPr>
          <w:rFonts w:hint="eastAsia" w:ascii="仿宋" w:hAnsi="仿宋" w:eastAsia="仿宋" w:cs="仿宋"/>
          <w:color w:val="auto"/>
          <w:sz w:val="24"/>
          <w:szCs w:val="24"/>
          <w:highlight w:val="none"/>
        </w:rPr>
        <w:t>3. 评审程序</w:t>
      </w:r>
      <w:bookmarkEnd w:id="404"/>
      <w:bookmarkEnd w:id="405"/>
      <w:bookmarkEnd w:id="406"/>
      <w:bookmarkEnd w:id="407"/>
      <w:bookmarkEnd w:id="408"/>
      <w:bookmarkEnd w:id="409"/>
      <w:bookmarkEnd w:id="410"/>
      <w:bookmarkEnd w:id="411"/>
    </w:p>
    <w:p>
      <w:pPr>
        <w:tabs>
          <w:tab w:val="left" w:pos="2472"/>
        </w:tabs>
        <w:autoSpaceDE w:val="0"/>
        <w:autoSpaceDN w:val="0"/>
        <w:adjustRightInd w:val="0"/>
        <w:spacing w:line="500" w:lineRule="exact"/>
        <w:jc w:val="left"/>
        <w:rPr>
          <w:rFonts w:hint="eastAsia" w:ascii="仿宋" w:hAnsi="仿宋" w:eastAsia="仿宋" w:cs="仿宋"/>
          <w:b/>
          <w:bCs/>
          <w:color w:val="auto"/>
          <w:kern w:val="0"/>
          <w:sz w:val="22"/>
          <w:szCs w:val="22"/>
          <w:highlight w:val="none"/>
        </w:rPr>
      </w:pPr>
      <w:r>
        <w:rPr>
          <w:rFonts w:hint="eastAsia" w:ascii="仿宋" w:hAnsi="仿宋" w:eastAsia="仿宋" w:cs="仿宋"/>
          <w:b/>
          <w:bCs/>
          <w:color w:val="auto"/>
          <w:kern w:val="0"/>
          <w:sz w:val="22"/>
          <w:szCs w:val="22"/>
          <w:highlight w:val="none"/>
        </w:rPr>
        <w:t>3.1 实质性要求审查</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3.1.1 比选小组依据本章第2.1项规定的标准对响应文件进行实质性要求审查。有一项不符合审查标准的，该响应文件按无效比选处理。</w:t>
      </w:r>
    </w:p>
    <w:p>
      <w:pPr>
        <w:keepNext/>
        <w:keepLines/>
        <w:tabs>
          <w:tab w:val="left" w:pos="1588"/>
        </w:tabs>
        <w:spacing w:line="500" w:lineRule="exact"/>
        <w:ind w:firstLine="442" w:firstLineChars="200"/>
        <w:outlineLvl w:val="3"/>
        <w:rPr>
          <w:rFonts w:hint="eastAsia" w:ascii="仿宋" w:hAnsi="仿宋" w:eastAsia="仿宋" w:cs="仿宋"/>
          <w:b/>
          <w:bCs/>
          <w:color w:val="auto"/>
          <w:sz w:val="22"/>
          <w:szCs w:val="22"/>
          <w:highlight w:val="none"/>
        </w:rPr>
      </w:pPr>
      <w:bookmarkStart w:id="412" w:name="_Toc5300"/>
      <w:bookmarkStart w:id="413" w:name="_Toc9127"/>
      <w:r>
        <w:rPr>
          <w:rFonts w:hint="eastAsia" w:ascii="仿宋" w:hAnsi="仿宋" w:eastAsia="仿宋" w:cs="仿宋"/>
          <w:b/>
          <w:bCs/>
          <w:color w:val="auto"/>
          <w:sz w:val="22"/>
          <w:szCs w:val="22"/>
          <w:highlight w:val="none"/>
        </w:rPr>
        <w:t>3.2 详细评审</w:t>
      </w:r>
      <w:bookmarkEnd w:id="412"/>
      <w:bookmarkEnd w:id="413"/>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3.2.1 比选小组按本章第2款规定的量化因素和分值进行打分，并计算出投标人的比选总得分。</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3.2.2得分由比选小组成员独立评分，</w:t>
      </w:r>
      <w:r>
        <w:rPr>
          <w:rFonts w:hint="eastAsia" w:ascii="仿宋" w:hAnsi="仿宋" w:eastAsia="仿宋" w:cs="仿宋"/>
          <w:bCs/>
          <w:color w:val="auto"/>
          <w:sz w:val="22"/>
          <w:szCs w:val="22"/>
          <w:highlight w:val="none"/>
        </w:rPr>
        <w:t>投标人各项评分因素得分为该项因素各评委评分的算术平均值（保留小数点后两位）</w:t>
      </w:r>
      <w:r>
        <w:rPr>
          <w:rFonts w:hint="eastAsia" w:ascii="仿宋" w:hAnsi="仿宋" w:eastAsia="仿宋" w:cs="仿宋"/>
          <w:color w:val="auto"/>
          <w:sz w:val="22"/>
          <w:szCs w:val="22"/>
          <w:highlight w:val="none"/>
        </w:rPr>
        <w:t>，小数点后第三位“四舍五入”。</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3.2.3比选小组成员要依法独立评审，并对评审意见承担个人责任。比选小组成员对需要共同认定的事项存在争议的，按照少数服从多数的原则做出结论。持不同意见的比选小组成员应当在评标报告上签署不同意见并说明理由，否则视为同意。</w:t>
      </w:r>
    </w:p>
    <w:p>
      <w:pPr>
        <w:keepNext/>
        <w:keepLines/>
        <w:tabs>
          <w:tab w:val="left" w:pos="1588"/>
        </w:tabs>
        <w:spacing w:line="500" w:lineRule="exact"/>
        <w:ind w:firstLine="442" w:firstLineChars="200"/>
        <w:outlineLvl w:val="3"/>
        <w:rPr>
          <w:rFonts w:hint="eastAsia" w:ascii="仿宋" w:hAnsi="仿宋" w:eastAsia="仿宋" w:cs="仿宋"/>
          <w:b/>
          <w:bCs/>
          <w:color w:val="auto"/>
          <w:sz w:val="22"/>
          <w:szCs w:val="22"/>
          <w:highlight w:val="none"/>
        </w:rPr>
      </w:pPr>
      <w:bookmarkStart w:id="414" w:name="_Toc5642"/>
      <w:r>
        <w:rPr>
          <w:rFonts w:hint="eastAsia" w:ascii="仿宋" w:hAnsi="仿宋" w:eastAsia="仿宋" w:cs="仿宋"/>
          <w:b/>
          <w:bCs/>
          <w:color w:val="auto"/>
          <w:sz w:val="22"/>
          <w:szCs w:val="22"/>
          <w:highlight w:val="none"/>
        </w:rPr>
        <w:t>3.</w:t>
      </w:r>
      <w:r>
        <w:rPr>
          <w:rFonts w:hint="eastAsia" w:ascii="仿宋" w:hAnsi="仿宋" w:eastAsia="仿宋" w:cs="仿宋"/>
          <w:b/>
          <w:bCs/>
          <w:color w:val="auto"/>
          <w:sz w:val="22"/>
          <w:szCs w:val="22"/>
          <w:highlight w:val="none"/>
          <w:lang w:val="en-US" w:eastAsia="zh-CN"/>
        </w:rPr>
        <w:t>3</w:t>
      </w:r>
      <w:r>
        <w:rPr>
          <w:rFonts w:hint="eastAsia" w:ascii="仿宋" w:hAnsi="仿宋" w:eastAsia="仿宋" w:cs="仿宋"/>
          <w:b/>
          <w:bCs/>
          <w:color w:val="auto"/>
          <w:sz w:val="22"/>
          <w:szCs w:val="22"/>
          <w:highlight w:val="none"/>
        </w:rPr>
        <w:t>特殊情况的处置程序</w:t>
      </w:r>
      <w:bookmarkEnd w:id="414"/>
    </w:p>
    <w:p>
      <w:pPr>
        <w:pStyle w:val="20"/>
        <w:spacing w:line="420" w:lineRule="exact"/>
        <w:ind w:firstLine="440" w:firstLineChars="200"/>
        <w:rPr>
          <w:rFonts w:hint="eastAsia" w:ascii="仿宋" w:hAnsi="仿宋" w:eastAsia="仿宋" w:cs="仿宋"/>
          <w:color w:val="auto"/>
          <w:kern w:val="2"/>
          <w:sz w:val="22"/>
          <w:szCs w:val="22"/>
          <w:highlight w:val="none"/>
        </w:rPr>
      </w:pPr>
      <w:r>
        <w:rPr>
          <w:rFonts w:hint="eastAsia" w:ascii="仿宋" w:hAnsi="仿宋" w:eastAsia="仿宋" w:cs="仿宋"/>
          <w:color w:val="auto"/>
          <w:kern w:val="2"/>
          <w:sz w:val="22"/>
          <w:szCs w:val="22"/>
          <w:highlight w:val="none"/>
        </w:rPr>
        <w:t>3.</w:t>
      </w:r>
      <w:r>
        <w:rPr>
          <w:rFonts w:hint="eastAsia" w:ascii="仿宋" w:hAnsi="仿宋" w:eastAsia="仿宋" w:cs="仿宋"/>
          <w:color w:val="auto"/>
          <w:kern w:val="2"/>
          <w:sz w:val="22"/>
          <w:szCs w:val="22"/>
          <w:highlight w:val="none"/>
          <w:lang w:val="en-US" w:eastAsia="zh-CN"/>
        </w:rPr>
        <w:t>3</w:t>
      </w:r>
      <w:r>
        <w:rPr>
          <w:rFonts w:hint="eastAsia" w:ascii="仿宋" w:hAnsi="仿宋" w:eastAsia="仿宋" w:cs="仿宋"/>
          <w:color w:val="auto"/>
          <w:kern w:val="2"/>
          <w:sz w:val="22"/>
          <w:szCs w:val="22"/>
          <w:highlight w:val="none"/>
        </w:rPr>
        <w:t>.1关于评审活动暂停</w:t>
      </w:r>
    </w:p>
    <w:p>
      <w:pPr>
        <w:pStyle w:val="20"/>
        <w:spacing w:line="420" w:lineRule="exact"/>
        <w:ind w:firstLine="440" w:firstLineChars="200"/>
        <w:rPr>
          <w:rFonts w:hint="eastAsia" w:ascii="仿宋" w:hAnsi="仿宋" w:eastAsia="仿宋" w:cs="仿宋"/>
          <w:color w:val="auto"/>
          <w:kern w:val="2"/>
          <w:sz w:val="22"/>
          <w:szCs w:val="22"/>
          <w:highlight w:val="none"/>
        </w:rPr>
      </w:pPr>
      <w:r>
        <w:rPr>
          <w:rFonts w:hint="eastAsia" w:ascii="仿宋" w:hAnsi="仿宋" w:eastAsia="仿宋" w:cs="仿宋"/>
          <w:color w:val="auto"/>
          <w:kern w:val="2"/>
          <w:sz w:val="22"/>
          <w:szCs w:val="22"/>
          <w:highlight w:val="none"/>
        </w:rPr>
        <w:t>3.</w:t>
      </w:r>
      <w:r>
        <w:rPr>
          <w:rFonts w:hint="eastAsia" w:ascii="仿宋" w:hAnsi="仿宋" w:eastAsia="仿宋" w:cs="仿宋"/>
          <w:color w:val="auto"/>
          <w:kern w:val="2"/>
          <w:sz w:val="22"/>
          <w:szCs w:val="22"/>
          <w:highlight w:val="none"/>
          <w:lang w:val="en-US" w:eastAsia="zh-CN"/>
        </w:rPr>
        <w:t>3</w:t>
      </w:r>
      <w:r>
        <w:rPr>
          <w:rFonts w:hint="eastAsia" w:ascii="仿宋" w:hAnsi="仿宋" w:eastAsia="仿宋" w:cs="仿宋"/>
          <w:color w:val="auto"/>
          <w:kern w:val="2"/>
          <w:sz w:val="22"/>
          <w:szCs w:val="22"/>
          <w:highlight w:val="none"/>
        </w:rPr>
        <w:t>.1.1比选小组应当执行连续评审的原则，按评审办法中规定的程序、内容、方法、标准完成全部评审工作。只有发生不可抗力导致评审工作无法继续时，评审活动方可暂停。</w:t>
      </w:r>
    </w:p>
    <w:p>
      <w:pPr>
        <w:pStyle w:val="20"/>
        <w:spacing w:line="420" w:lineRule="exact"/>
        <w:ind w:firstLine="440" w:firstLineChars="200"/>
        <w:rPr>
          <w:rFonts w:hint="eastAsia" w:ascii="仿宋" w:hAnsi="仿宋" w:eastAsia="仿宋" w:cs="仿宋"/>
          <w:color w:val="auto"/>
          <w:kern w:val="2"/>
          <w:sz w:val="22"/>
          <w:szCs w:val="22"/>
          <w:highlight w:val="none"/>
        </w:rPr>
      </w:pPr>
      <w:r>
        <w:rPr>
          <w:rFonts w:hint="eastAsia" w:ascii="仿宋" w:hAnsi="仿宋" w:eastAsia="仿宋" w:cs="仿宋"/>
          <w:color w:val="auto"/>
          <w:kern w:val="2"/>
          <w:sz w:val="22"/>
          <w:szCs w:val="22"/>
          <w:highlight w:val="none"/>
        </w:rPr>
        <w:t>3.</w:t>
      </w:r>
      <w:r>
        <w:rPr>
          <w:rFonts w:hint="eastAsia" w:ascii="仿宋" w:hAnsi="仿宋" w:eastAsia="仿宋" w:cs="仿宋"/>
          <w:color w:val="auto"/>
          <w:kern w:val="2"/>
          <w:sz w:val="22"/>
          <w:szCs w:val="22"/>
          <w:highlight w:val="none"/>
          <w:lang w:val="en-US" w:eastAsia="zh-CN"/>
        </w:rPr>
        <w:t>3</w:t>
      </w:r>
      <w:r>
        <w:rPr>
          <w:rFonts w:hint="eastAsia" w:ascii="仿宋" w:hAnsi="仿宋" w:eastAsia="仿宋" w:cs="仿宋"/>
          <w:color w:val="auto"/>
          <w:kern w:val="2"/>
          <w:sz w:val="22"/>
          <w:szCs w:val="22"/>
          <w:highlight w:val="none"/>
        </w:rPr>
        <w:t>.1.2发生评审暂停情况时，比选小组应当封存全部响应文件和评审记录，待不可抗力的影响结束且具备继续评审的条件时，由原比选小组继续评审。</w:t>
      </w:r>
      <w:bookmarkEnd w:id="3"/>
      <w:bookmarkEnd w:id="4"/>
      <w:bookmarkEnd w:id="5"/>
      <w:bookmarkEnd w:id="6"/>
      <w:bookmarkEnd w:id="7"/>
      <w:bookmarkEnd w:id="8"/>
    </w:p>
    <w:sectPr>
      <w:pgSz w:w="11906" w:h="16838"/>
      <w:pgMar w:top="1247" w:right="1134" w:bottom="1134" w:left="1247" w:header="510" w:footer="680"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Arial Narrow">
    <w:altName w:val="Arial"/>
    <w:panose1 w:val="020B0606020202030204"/>
    <w:charset w:val="00"/>
    <w:family w:val="swiss"/>
    <w:pitch w:val="default"/>
    <w:sig w:usb0="00000000" w:usb1="00000000" w:usb2="00000000" w:usb3="00000000" w:csb0="2000009F" w:csb1="DFD70000"/>
  </w:font>
  <w:font w:name="Arial Unicode MS">
    <w:altName w:val="宋体"/>
    <w:panose1 w:val="020B0604020202020204"/>
    <w:charset w:val="86"/>
    <w:family w:val="swiss"/>
    <w:pitch w:val="default"/>
    <w:sig w:usb0="00000000" w:usb1="00000000" w:usb2="0000003F" w:usb3="00000000" w:csb0="603F01FF" w:csb1="FFFF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t xml:space="preserve">第 </w:t>
                          </w:r>
                          <w:r>
                            <w:fldChar w:fldCharType="begin"/>
                          </w:r>
                          <w:r>
                            <w:instrText xml:space="preserve"> PAGE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5"/>
                    </w:pPr>
                    <w:r>
                      <w:t xml:space="preserve">第 </w:t>
                    </w:r>
                    <w:r>
                      <w:fldChar w:fldCharType="begin"/>
                    </w:r>
                    <w:r>
                      <w:instrText xml:space="preserve"> PAGE  \* MERGEFORMAT </w:instrText>
                    </w:r>
                    <w:r>
                      <w:fldChar w:fldCharType="separate"/>
                    </w:r>
                    <w:r>
                      <w:t>3</w:t>
                    </w:r>
                    <w:r>
                      <w:fldChar w:fldCharType="end"/>
                    </w:r>
                    <w: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Bdr>
        <w:bottom w:val="thickThinSmallGap" w:color="auto" w:sz="12" w:space="0"/>
      </w:pBdr>
      <w:spacing w:line="300" w:lineRule="exact"/>
      <w:rPr>
        <w:rFonts w:hint="eastAsia" w:ascii="仿宋" w:hAnsi="仿宋" w:eastAsia="仿宋" w:cs="仿宋"/>
        <w:b/>
        <w:spacing w:val="-6"/>
        <w:sz w:val="20"/>
        <w:lang w:eastAsia="zh-CN"/>
      </w:rPr>
    </w:pPr>
    <w:r>
      <w:rPr>
        <w:rFonts w:hint="eastAsia" w:ascii="仿宋" w:hAnsi="仿宋" w:eastAsia="仿宋" w:cs="仿宋"/>
        <w:b/>
        <w:spacing w:val="-6"/>
        <w:sz w:val="20"/>
        <w:lang w:eastAsia="zh-CN"/>
      </w:rPr>
      <w:t xml:space="preserve"> 云南师范大学世纪金源学校校方综合防范保险项目</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lang w:eastAsia="zh-CN"/>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Bdr>
        <w:bottom w:val="thickThinSmallGap" w:color="auto" w:sz="12" w:space="0"/>
      </w:pBdr>
      <w:spacing w:line="300" w:lineRule="exact"/>
      <w:rPr>
        <w:rFonts w:hint="eastAsia"/>
        <w:lang w:eastAsia="zh-CN"/>
      </w:rPr>
    </w:pPr>
    <w:r>
      <w:rPr>
        <w:rFonts w:hint="eastAsia" w:ascii="仿宋" w:hAnsi="仿宋" w:eastAsia="仿宋" w:cs="仿宋"/>
        <w:b/>
        <w:spacing w:val="-6"/>
        <w:sz w:val="20"/>
        <w:lang w:eastAsia="zh-CN"/>
      </w:rPr>
      <w:t xml:space="preserve"> 云南师范大学世纪金源学校校方综合防范保险项目</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lang w:eastAsia="zh-CN"/>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07E508"/>
    <w:multiLevelType w:val="singleLevel"/>
    <w:tmpl w:val="8D07E508"/>
    <w:lvl w:ilvl="0" w:tentative="0">
      <w:start w:val="3"/>
      <w:numFmt w:val="chineseCounting"/>
      <w:suff w:val="nothing"/>
      <w:lvlText w:val="%1、"/>
      <w:lvlJc w:val="left"/>
      <w:rPr>
        <w:rFonts w:hint="eastAsia"/>
      </w:rPr>
    </w:lvl>
  </w:abstractNum>
  <w:abstractNum w:abstractNumId="1">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9A9E05D2"/>
    <w:multiLevelType w:val="singleLevel"/>
    <w:tmpl w:val="9A9E05D2"/>
    <w:lvl w:ilvl="0" w:tentative="0">
      <w:start w:val="1"/>
      <w:numFmt w:val="decimal"/>
      <w:suff w:val="nothing"/>
      <w:lvlText w:val="（%1）"/>
      <w:lvlJc w:val="left"/>
    </w:lvl>
  </w:abstractNum>
  <w:abstractNum w:abstractNumId="4">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5">
    <w:nsid w:val="A9142798"/>
    <w:multiLevelType w:val="singleLevel"/>
    <w:tmpl w:val="A9142798"/>
    <w:lvl w:ilvl="0" w:tentative="0">
      <w:start w:val="1"/>
      <w:numFmt w:val="decimalEnclosedCircleChinese"/>
      <w:suff w:val="space"/>
      <w:lvlText w:val="%1"/>
      <w:lvlJc w:val="left"/>
      <w:pPr>
        <w:ind w:left="-420"/>
      </w:pPr>
      <w:rPr>
        <w:rFonts w:hint="eastAsia"/>
      </w:rPr>
    </w:lvl>
  </w:abstractNum>
  <w:abstractNum w:abstractNumId="6">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7">
    <w:nsid w:val="CD211E20"/>
    <w:multiLevelType w:val="singleLevel"/>
    <w:tmpl w:val="CD211E20"/>
    <w:lvl w:ilvl="0" w:tentative="0">
      <w:start w:val="3"/>
      <w:numFmt w:val="decimal"/>
      <w:suff w:val="nothing"/>
      <w:lvlText w:val="%1、"/>
      <w:lvlJc w:val="left"/>
    </w:lvl>
  </w:abstractNum>
  <w:abstractNum w:abstractNumId="8">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9">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1">
    <w:nsid w:val="E9CBA0B2"/>
    <w:multiLevelType w:val="singleLevel"/>
    <w:tmpl w:val="E9CBA0B2"/>
    <w:lvl w:ilvl="0" w:tentative="0">
      <w:start w:val="1"/>
      <w:numFmt w:val="decimal"/>
      <w:lvlText w:val="%1."/>
      <w:lvlJc w:val="left"/>
      <w:pPr>
        <w:tabs>
          <w:tab w:val="left" w:pos="312"/>
        </w:tabs>
      </w:pPr>
    </w:lvl>
  </w:abstractNum>
  <w:abstractNum w:abstractNumId="12">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6"/>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3">
    <w:nsid w:val="0315620E"/>
    <w:multiLevelType w:val="multilevel"/>
    <w:tmpl w:val="0315620E"/>
    <w:lvl w:ilvl="0" w:tentative="0">
      <w:start w:val="1"/>
      <w:numFmt w:val="decimal"/>
      <w:pStyle w:val="2"/>
      <w:lvlText w:val="%1"/>
      <w:lvlJc w:val="left"/>
      <w:pPr>
        <w:tabs>
          <w:tab w:val="left" w:pos="360"/>
        </w:tabs>
        <w:ind w:left="284" w:hanging="284"/>
      </w:pPr>
      <w:rPr>
        <w:rFonts w:hint="default" w:ascii="Times New Roman" w:hAnsi="Times New Roman"/>
        <w:b/>
        <w:i w:val="0"/>
        <w:sz w:val="28"/>
      </w:rPr>
    </w:lvl>
    <w:lvl w:ilvl="1" w:tentative="0">
      <w:start w:val="1"/>
      <w:numFmt w:val="decimal"/>
      <w:pStyle w:val="3"/>
      <w:lvlText w:val="%1.%2"/>
      <w:lvlJc w:val="left"/>
      <w:pPr>
        <w:tabs>
          <w:tab w:val="left" w:pos="1021"/>
        </w:tabs>
        <w:ind w:left="1021" w:hanging="596"/>
      </w:pPr>
      <w:rPr>
        <w:rFonts w:hint="default" w:ascii="Times New Roman" w:hAnsi="Times New Roman"/>
        <w:b/>
        <w:i w:val="0"/>
        <w:sz w:val="28"/>
      </w:rPr>
    </w:lvl>
    <w:lvl w:ilvl="2" w:tentative="0">
      <w:start w:val="1"/>
      <w:numFmt w:val="decimal"/>
      <w:pStyle w:val="4"/>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4">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1EF3BBC"/>
    <w:multiLevelType w:val="multilevel"/>
    <w:tmpl w:val="11EF3BBC"/>
    <w:lvl w:ilvl="0" w:tentative="0">
      <w:start w:val="1"/>
      <w:numFmt w:val="bullet"/>
      <w:pStyle w:val="68"/>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6">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7">
    <w:nsid w:val="18287F41"/>
    <w:multiLevelType w:val="singleLevel"/>
    <w:tmpl w:val="18287F41"/>
    <w:lvl w:ilvl="0" w:tentative="0">
      <w:start w:val="7"/>
      <w:numFmt w:val="chineseCounting"/>
      <w:suff w:val="nothing"/>
      <w:lvlText w:val="%1、"/>
      <w:lvlJc w:val="left"/>
      <w:rPr>
        <w:rFonts w:hint="eastAsia"/>
      </w:rPr>
    </w:lvl>
  </w:abstractNum>
  <w:abstractNum w:abstractNumId="18">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9">
    <w:nsid w:val="22893B5C"/>
    <w:multiLevelType w:val="singleLevel"/>
    <w:tmpl w:val="22893B5C"/>
    <w:lvl w:ilvl="0" w:tentative="0">
      <w:start w:val="2"/>
      <w:numFmt w:val="chineseCounting"/>
      <w:suff w:val="nothing"/>
      <w:lvlText w:val="（%1）"/>
      <w:lvlJc w:val="left"/>
      <w:rPr>
        <w:rFonts w:hint="eastAsia"/>
      </w:rPr>
    </w:lvl>
  </w:abstractNum>
  <w:abstractNum w:abstractNumId="20">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1">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2">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3">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4">
    <w:nsid w:val="511883F9"/>
    <w:multiLevelType w:val="singleLevel"/>
    <w:tmpl w:val="511883F9"/>
    <w:lvl w:ilvl="0" w:tentative="0">
      <w:start w:val="3"/>
      <w:numFmt w:val="chineseCounting"/>
      <w:suff w:val="nothing"/>
      <w:lvlText w:val="（%1）"/>
      <w:lvlJc w:val="left"/>
      <w:rPr>
        <w:rFonts w:hint="eastAsia"/>
      </w:rPr>
    </w:lvl>
  </w:abstractNum>
  <w:abstractNum w:abstractNumId="25">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6">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3"/>
  </w:num>
  <w:num w:numId="2">
    <w:abstractNumId w:val="12"/>
  </w:num>
  <w:num w:numId="3">
    <w:abstractNumId w:val="15"/>
  </w:num>
  <w:num w:numId="4">
    <w:abstractNumId w:val="11"/>
  </w:num>
  <w:num w:numId="5">
    <w:abstractNumId w:val="23"/>
  </w:num>
  <w:num w:numId="6">
    <w:abstractNumId w:val="26"/>
  </w:num>
  <w:num w:numId="7">
    <w:abstractNumId w:val="4"/>
  </w:num>
  <w:num w:numId="8">
    <w:abstractNumId w:val="25"/>
  </w:num>
  <w:num w:numId="9">
    <w:abstractNumId w:val="16"/>
  </w:num>
  <w:num w:numId="10">
    <w:abstractNumId w:val="10"/>
  </w:num>
  <w:num w:numId="11">
    <w:abstractNumId w:val="2"/>
  </w:num>
  <w:num w:numId="12">
    <w:abstractNumId w:val="18"/>
  </w:num>
  <w:num w:numId="13">
    <w:abstractNumId w:val="6"/>
  </w:num>
  <w:num w:numId="14">
    <w:abstractNumId w:val="9"/>
  </w:num>
  <w:num w:numId="15">
    <w:abstractNumId w:val="14"/>
  </w:num>
  <w:num w:numId="16">
    <w:abstractNumId w:val="22"/>
  </w:num>
  <w:num w:numId="17">
    <w:abstractNumId w:val="20"/>
  </w:num>
  <w:num w:numId="18">
    <w:abstractNumId w:val="1"/>
  </w:num>
  <w:num w:numId="19">
    <w:abstractNumId w:val="21"/>
  </w:num>
  <w:num w:numId="20">
    <w:abstractNumId w:val="8"/>
  </w:num>
  <w:num w:numId="21">
    <w:abstractNumId w:val="0"/>
  </w:num>
  <w:num w:numId="22">
    <w:abstractNumId w:val="17"/>
  </w:num>
  <w:num w:numId="23">
    <w:abstractNumId w:val="19"/>
  </w:num>
  <w:num w:numId="24">
    <w:abstractNumId w:val="24"/>
  </w:num>
  <w:num w:numId="25">
    <w:abstractNumId w:val="5"/>
  </w:num>
  <w:num w:numId="26">
    <w:abstractNumId w:val="3"/>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k3M2U4MTAxMjc5Mzc0OWEwMjVkNDkwMzRmY2FmNDkifQ=="/>
  </w:docVars>
  <w:rsids>
    <w:rsidRoot w:val="00172A27"/>
    <w:rsid w:val="001F2CA3"/>
    <w:rsid w:val="00536623"/>
    <w:rsid w:val="005E718E"/>
    <w:rsid w:val="006F0EA3"/>
    <w:rsid w:val="00CB37B2"/>
    <w:rsid w:val="00F32EF3"/>
    <w:rsid w:val="01667731"/>
    <w:rsid w:val="01722330"/>
    <w:rsid w:val="01995B0E"/>
    <w:rsid w:val="01AA3BB2"/>
    <w:rsid w:val="01BA71AD"/>
    <w:rsid w:val="020C008E"/>
    <w:rsid w:val="02564A22"/>
    <w:rsid w:val="026B6B7A"/>
    <w:rsid w:val="027D65B9"/>
    <w:rsid w:val="032B4408"/>
    <w:rsid w:val="036C3448"/>
    <w:rsid w:val="039446EB"/>
    <w:rsid w:val="039D7B38"/>
    <w:rsid w:val="03C86237"/>
    <w:rsid w:val="03EB2406"/>
    <w:rsid w:val="044E7F85"/>
    <w:rsid w:val="04D631EA"/>
    <w:rsid w:val="05033704"/>
    <w:rsid w:val="057D6A8D"/>
    <w:rsid w:val="05A00C76"/>
    <w:rsid w:val="05CA6DB7"/>
    <w:rsid w:val="0604257B"/>
    <w:rsid w:val="06231E4A"/>
    <w:rsid w:val="065A08FC"/>
    <w:rsid w:val="06641DF2"/>
    <w:rsid w:val="06E953A2"/>
    <w:rsid w:val="072440CC"/>
    <w:rsid w:val="07A81018"/>
    <w:rsid w:val="07C37441"/>
    <w:rsid w:val="07F92E63"/>
    <w:rsid w:val="0805549D"/>
    <w:rsid w:val="08085B15"/>
    <w:rsid w:val="0850498D"/>
    <w:rsid w:val="086A1CC5"/>
    <w:rsid w:val="091C51F6"/>
    <w:rsid w:val="099E72E2"/>
    <w:rsid w:val="09D46B2C"/>
    <w:rsid w:val="0A1A3201"/>
    <w:rsid w:val="0A3B38B1"/>
    <w:rsid w:val="0A7A4A3B"/>
    <w:rsid w:val="0A85103E"/>
    <w:rsid w:val="0AA442E9"/>
    <w:rsid w:val="0B422D73"/>
    <w:rsid w:val="0BE77821"/>
    <w:rsid w:val="0BF13075"/>
    <w:rsid w:val="0CD619C5"/>
    <w:rsid w:val="0CEB0F40"/>
    <w:rsid w:val="0D0F2158"/>
    <w:rsid w:val="0D6B3990"/>
    <w:rsid w:val="0D7A67F4"/>
    <w:rsid w:val="0E0017E4"/>
    <w:rsid w:val="0E3A2F25"/>
    <w:rsid w:val="0E7743BD"/>
    <w:rsid w:val="0E8527C0"/>
    <w:rsid w:val="0F8D0A0F"/>
    <w:rsid w:val="0F8D2546"/>
    <w:rsid w:val="0FF5026E"/>
    <w:rsid w:val="10027476"/>
    <w:rsid w:val="103C1A3A"/>
    <w:rsid w:val="10BA748A"/>
    <w:rsid w:val="11D36D8C"/>
    <w:rsid w:val="12966FEF"/>
    <w:rsid w:val="12A27DCD"/>
    <w:rsid w:val="12DC009F"/>
    <w:rsid w:val="140A36C8"/>
    <w:rsid w:val="141352AC"/>
    <w:rsid w:val="14585098"/>
    <w:rsid w:val="14704BAF"/>
    <w:rsid w:val="147822DF"/>
    <w:rsid w:val="14CE1D9B"/>
    <w:rsid w:val="14DF4625"/>
    <w:rsid w:val="14F92252"/>
    <w:rsid w:val="154A3B5B"/>
    <w:rsid w:val="16503853"/>
    <w:rsid w:val="167F4E7B"/>
    <w:rsid w:val="169C77DB"/>
    <w:rsid w:val="170A7C4A"/>
    <w:rsid w:val="171F677D"/>
    <w:rsid w:val="17792747"/>
    <w:rsid w:val="17951931"/>
    <w:rsid w:val="17F665A1"/>
    <w:rsid w:val="183316D2"/>
    <w:rsid w:val="185B558F"/>
    <w:rsid w:val="18FA70BF"/>
    <w:rsid w:val="191A70DD"/>
    <w:rsid w:val="193B1647"/>
    <w:rsid w:val="19687E48"/>
    <w:rsid w:val="196A6E29"/>
    <w:rsid w:val="1AE61844"/>
    <w:rsid w:val="1B186553"/>
    <w:rsid w:val="1B2E6D78"/>
    <w:rsid w:val="1BB05AD7"/>
    <w:rsid w:val="1BCB549C"/>
    <w:rsid w:val="1C121A3A"/>
    <w:rsid w:val="1C4B304A"/>
    <w:rsid w:val="1C7A05BE"/>
    <w:rsid w:val="1CA51F06"/>
    <w:rsid w:val="1CB9423F"/>
    <w:rsid w:val="1E032835"/>
    <w:rsid w:val="1E157890"/>
    <w:rsid w:val="1E215213"/>
    <w:rsid w:val="1E3D18A3"/>
    <w:rsid w:val="1E784543"/>
    <w:rsid w:val="1E895208"/>
    <w:rsid w:val="1EF830F5"/>
    <w:rsid w:val="1F104EC1"/>
    <w:rsid w:val="1FC71890"/>
    <w:rsid w:val="1FD962D7"/>
    <w:rsid w:val="1FF27D60"/>
    <w:rsid w:val="20000DDB"/>
    <w:rsid w:val="20700642"/>
    <w:rsid w:val="207A350E"/>
    <w:rsid w:val="21182345"/>
    <w:rsid w:val="21751354"/>
    <w:rsid w:val="217F6F09"/>
    <w:rsid w:val="21DF0EC4"/>
    <w:rsid w:val="220566A5"/>
    <w:rsid w:val="2293656D"/>
    <w:rsid w:val="22E06A62"/>
    <w:rsid w:val="22FD3D2D"/>
    <w:rsid w:val="233D3868"/>
    <w:rsid w:val="23843AD1"/>
    <w:rsid w:val="23D87FEC"/>
    <w:rsid w:val="23E94A37"/>
    <w:rsid w:val="240011CC"/>
    <w:rsid w:val="240044B7"/>
    <w:rsid w:val="24125580"/>
    <w:rsid w:val="2441693B"/>
    <w:rsid w:val="24DD02AC"/>
    <w:rsid w:val="24EC51A1"/>
    <w:rsid w:val="25820D4C"/>
    <w:rsid w:val="25D06300"/>
    <w:rsid w:val="260E2CDF"/>
    <w:rsid w:val="26AE4872"/>
    <w:rsid w:val="271547BC"/>
    <w:rsid w:val="273A5696"/>
    <w:rsid w:val="27406218"/>
    <w:rsid w:val="274D7D89"/>
    <w:rsid w:val="280574D0"/>
    <w:rsid w:val="283658D8"/>
    <w:rsid w:val="28CF1C92"/>
    <w:rsid w:val="291D77F8"/>
    <w:rsid w:val="29C0110D"/>
    <w:rsid w:val="2AE80575"/>
    <w:rsid w:val="2AEE7F46"/>
    <w:rsid w:val="2B1A0641"/>
    <w:rsid w:val="2B532195"/>
    <w:rsid w:val="2B701970"/>
    <w:rsid w:val="2BE72E97"/>
    <w:rsid w:val="2C2E1E35"/>
    <w:rsid w:val="2C5A1872"/>
    <w:rsid w:val="2C9F5E1F"/>
    <w:rsid w:val="2CBC3E6A"/>
    <w:rsid w:val="2CE55B3A"/>
    <w:rsid w:val="2D1E6D44"/>
    <w:rsid w:val="2D346567"/>
    <w:rsid w:val="2DC766FE"/>
    <w:rsid w:val="2EAE5778"/>
    <w:rsid w:val="2F103ABB"/>
    <w:rsid w:val="2F17377A"/>
    <w:rsid w:val="2F1B1165"/>
    <w:rsid w:val="2FEE23FB"/>
    <w:rsid w:val="30245485"/>
    <w:rsid w:val="30925604"/>
    <w:rsid w:val="30B83A0A"/>
    <w:rsid w:val="30C01091"/>
    <w:rsid w:val="3135613A"/>
    <w:rsid w:val="3139707D"/>
    <w:rsid w:val="3163566D"/>
    <w:rsid w:val="3292277C"/>
    <w:rsid w:val="32926C9A"/>
    <w:rsid w:val="32A629A8"/>
    <w:rsid w:val="32C739DA"/>
    <w:rsid w:val="33A66B32"/>
    <w:rsid w:val="33FB6F4B"/>
    <w:rsid w:val="33FE4411"/>
    <w:rsid w:val="341D5FA7"/>
    <w:rsid w:val="34B35675"/>
    <w:rsid w:val="352B143C"/>
    <w:rsid w:val="357774A2"/>
    <w:rsid w:val="3648684B"/>
    <w:rsid w:val="364C66D0"/>
    <w:rsid w:val="36982F15"/>
    <w:rsid w:val="376E5128"/>
    <w:rsid w:val="377C6FEF"/>
    <w:rsid w:val="383F1C02"/>
    <w:rsid w:val="38AC4356"/>
    <w:rsid w:val="38CF0459"/>
    <w:rsid w:val="3920101E"/>
    <w:rsid w:val="392A081F"/>
    <w:rsid w:val="3957385F"/>
    <w:rsid w:val="397320CF"/>
    <w:rsid w:val="3A1B797B"/>
    <w:rsid w:val="3AF235BE"/>
    <w:rsid w:val="3B471B5C"/>
    <w:rsid w:val="3B582597"/>
    <w:rsid w:val="3BF037F2"/>
    <w:rsid w:val="3C536B7D"/>
    <w:rsid w:val="3C8A77BA"/>
    <w:rsid w:val="3CFC24D2"/>
    <w:rsid w:val="3D1E1969"/>
    <w:rsid w:val="3D8C44DD"/>
    <w:rsid w:val="3DCB6E3D"/>
    <w:rsid w:val="3E4203B8"/>
    <w:rsid w:val="3E4C416D"/>
    <w:rsid w:val="3EB25675"/>
    <w:rsid w:val="3F8D37FE"/>
    <w:rsid w:val="40444E2A"/>
    <w:rsid w:val="4073644F"/>
    <w:rsid w:val="41235D2C"/>
    <w:rsid w:val="415770C8"/>
    <w:rsid w:val="41595B1E"/>
    <w:rsid w:val="41C34216"/>
    <w:rsid w:val="42185032"/>
    <w:rsid w:val="424D57A6"/>
    <w:rsid w:val="429A5600"/>
    <w:rsid w:val="42F27740"/>
    <w:rsid w:val="430968B2"/>
    <w:rsid w:val="436502E4"/>
    <w:rsid w:val="43B719FB"/>
    <w:rsid w:val="44170B67"/>
    <w:rsid w:val="44976A56"/>
    <w:rsid w:val="44CC04FB"/>
    <w:rsid w:val="453E0C6D"/>
    <w:rsid w:val="45786A0D"/>
    <w:rsid w:val="4586674A"/>
    <w:rsid w:val="45A81449"/>
    <w:rsid w:val="4616188D"/>
    <w:rsid w:val="46612B1C"/>
    <w:rsid w:val="46623CEE"/>
    <w:rsid w:val="46C10028"/>
    <w:rsid w:val="46E14BDC"/>
    <w:rsid w:val="474A2312"/>
    <w:rsid w:val="47570501"/>
    <w:rsid w:val="47FA7C0E"/>
    <w:rsid w:val="48B96CB1"/>
    <w:rsid w:val="497F5619"/>
    <w:rsid w:val="49A76574"/>
    <w:rsid w:val="4A463C50"/>
    <w:rsid w:val="4A9621B8"/>
    <w:rsid w:val="4AC13F7E"/>
    <w:rsid w:val="4B165370"/>
    <w:rsid w:val="4B8C3BDB"/>
    <w:rsid w:val="4BCF57F6"/>
    <w:rsid w:val="4C473B3F"/>
    <w:rsid w:val="4CBE3293"/>
    <w:rsid w:val="4CF141CA"/>
    <w:rsid w:val="4D266D72"/>
    <w:rsid w:val="4D3372C7"/>
    <w:rsid w:val="4D7D5780"/>
    <w:rsid w:val="4D9A62BB"/>
    <w:rsid w:val="4E2F37F1"/>
    <w:rsid w:val="4E6A6748"/>
    <w:rsid w:val="4EA07161"/>
    <w:rsid w:val="4F270E56"/>
    <w:rsid w:val="4F3A75B6"/>
    <w:rsid w:val="4F4924E3"/>
    <w:rsid w:val="4FFC2ABD"/>
    <w:rsid w:val="500419A2"/>
    <w:rsid w:val="501216F4"/>
    <w:rsid w:val="502E5A5E"/>
    <w:rsid w:val="50454464"/>
    <w:rsid w:val="507B323C"/>
    <w:rsid w:val="50CC6DAA"/>
    <w:rsid w:val="50E83613"/>
    <w:rsid w:val="510B2F6E"/>
    <w:rsid w:val="512615DE"/>
    <w:rsid w:val="5129767D"/>
    <w:rsid w:val="515873A1"/>
    <w:rsid w:val="515F3303"/>
    <w:rsid w:val="52133847"/>
    <w:rsid w:val="525772BA"/>
    <w:rsid w:val="52642B9B"/>
    <w:rsid w:val="530E43B4"/>
    <w:rsid w:val="531A4772"/>
    <w:rsid w:val="53DF79A2"/>
    <w:rsid w:val="5438314E"/>
    <w:rsid w:val="54596853"/>
    <w:rsid w:val="54D475D7"/>
    <w:rsid w:val="553629AF"/>
    <w:rsid w:val="55975A46"/>
    <w:rsid w:val="55B61960"/>
    <w:rsid w:val="55B9733A"/>
    <w:rsid w:val="564C5B20"/>
    <w:rsid w:val="56A53D97"/>
    <w:rsid w:val="56F40992"/>
    <w:rsid w:val="570D09E8"/>
    <w:rsid w:val="570D2B79"/>
    <w:rsid w:val="57613663"/>
    <w:rsid w:val="57F66683"/>
    <w:rsid w:val="58021BEA"/>
    <w:rsid w:val="585216B5"/>
    <w:rsid w:val="58AA4377"/>
    <w:rsid w:val="58D42806"/>
    <w:rsid w:val="59305585"/>
    <w:rsid w:val="595E7EB9"/>
    <w:rsid w:val="59705E43"/>
    <w:rsid w:val="5988712F"/>
    <w:rsid w:val="59D86790"/>
    <w:rsid w:val="5A1B2694"/>
    <w:rsid w:val="5A3D49F6"/>
    <w:rsid w:val="5A4A504A"/>
    <w:rsid w:val="5A920D26"/>
    <w:rsid w:val="5AC02CF9"/>
    <w:rsid w:val="5B1C4013"/>
    <w:rsid w:val="5B490B80"/>
    <w:rsid w:val="5BBC63D7"/>
    <w:rsid w:val="5BCF022B"/>
    <w:rsid w:val="5C3215B6"/>
    <w:rsid w:val="5C663199"/>
    <w:rsid w:val="5CB24B00"/>
    <w:rsid w:val="5CDC7453"/>
    <w:rsid w:val="5CE943C9"/>
    <w:rsid w:val="5CEA1240"/>
    <w:rsid w:val="5D3A4C25"/>
    <w:rsid w:val="5D6F5686"/>
    <w:rsid w:val="5D792E01"/>
    <w:rsid w:val="5DA1540D"/>
    <w:rsid w:val="5DA75EED"/>
    <w:rsid w:val="5E051532"/>
    <w:rsid w:val="5E693A13"/>
    <w:rsid w:val="5F096593"/>
    <w:rsid w:val="5F267161"/>
    <w:rsid w:val="6040385F"/>
    <w:rsid w:val="60732315"/>
    <w:rsid w:val="61053EB8"/>
    <w:rsid w:val="617E62B6"/>
    <w:rsid w:val="618741B1"/>
    <w:rsid w:val="619175C9"/>
    <w:rsid w:val="61CC7BD3"/>
    <w:rsid w:val="62512A6C"/>
    <w:rsid w:val="62D91FC0"/>
    <w:rsid w:val="62EE79FF"/>
    <w:rsid w:val="6350601E"/>
    <w:rsid w:val="636543C8"/>
    <w:rsid w:val="636E4515"/>
    <w:rsid w:val="63D32188"/>
    <w:rsid w:val="6421068E"/>
    <w:rsid w:val="643B5F4F"/>
    <w:rsid w:val="647C3B54"/>
    <w:rsid w:val="64AF5E31"/>
    <w:rsid w:val="65507CD9"/>
    <w:rsid w:val="65530F79"/>
    <w:rsid w:val="670D6F06"/>
    <w:rsid w:val="67702A4F"/>
    <w:rsid w:val="679A2D3F"/>
    <w:rsid w:val="67AE06E9"/>
    <w:rsid w:val="68A1788C"/>
    <w:rsid w:val="68F14D31"/>
    <w:rsid w:val="68F70355"/>
    <w:rsid w:val="699E556C"/>
    <w:rsid w:val="6A707ABA"/>
    <w:rsid w:val="6AA23D62"/>
    <w:rsid w:val="6ACD5FF0"/>
    <w:rsid w:val="6B364629"/>
    <w:rsid w:val="6B3D425E"/>
    <w:rsid w:val="6B492045"/>
    <w:rsid w:val="6B4C08CF"/>
    <w:rsid w:val="6B6858DA"/>
    <w:rsid w:val="6B8C6548"/>
    <w:rsid w:val="6C587AD2"/>
    <w:rsid w:val="6D0B1F10"/>
    <w:rsid w:val="6D48654E"/>
    <w:rsid w:val="6DCB03D5"/>
    <w:rsid w:val="6DCD73EF"/>
    <w:rsid w:val="6E6F0E86"/>
    <w:rsid w:val="6E8C245B"/>
    <w:rsid w:val="6E944978"/>
    <w:rsid w:val="6EE232AF"/>
    <w:rsid w:val="6F517E7D"/>
    <w:rsid w:val="6F694EBD"/>
    <w:rsid w:val="6FAC33A0"/>
    <w:rsid w:val="6FED6386"/>
    <w:rsid w:val="70061FE5"/>
    <w:rsid w:val="701A2DBF"/>
    <w:rsid w:val="7057154D"/>
    <w:rsid w:val="71386DC0"/>
    <w:rsid w:val="71520337"/>
    <w:rsid w:val="715B5814"/>
    <w:rsid w:val="715E705F"/>
    <w:rsid w:val="718069D9"/>
    <w:rsid w:val="71C8684B"/>
    <w:rsid w:val="71E116BB"/>
    <w:rsid w:val="72490C82"/>
    <w:rsid w:val="72531664"/>
    <w:rsid w:val="72C628DB"/>
    <w:rsid w:val="731D109A"/>
    <w:rsid w:val="732835E6"/>
    <w:rsid w:val="73865C9E"/>
    <w:rsid w:val="73CB2FE8"/>
    <w:rsid w:val="73EE3117"/>
    <w:rsid w:val="74136F1C"/>
    <w:rsid w:val="743B32DF"/>
    <w:rsid w:val="7452328D"/>
    <w:rsid w:val="74572B77"/>
    <w:rsid w:val="74655073"/>
    <w:rsid w:val="74B055E6"/>
    <w:rsid w:val="74EE1D0A"/>
    <w:rsid w:val="7551433A"/>
    <w:rsid w:val="760404D5"/>
    <w:rsid w:val="76E942BE"/>
    <w:rsid w:val="771F4C58"/>
    <w:rsid w:val="77256A83"/>
    <w:rsid w:val="775546DD"/>
    <w:rsid w:val="776958B0"/>
    <w:rsid w:val="77771F99"/>
    <w:rsid w:val="77E31CE9"/>
    <w:rsid w:val="77FC22F4"/>
    <w:rsid w:val="784136B1"/>
    <w:rsid w:val="788E24B4"/>
    <w:rsid w:val="789E3E62"/>
    <w:rsid w:val="792B7DEB"/>
    <w:rsid w:val="7968098F"/>
    <w:rsid w:val="797E20AF"/>
    <w:rsid w:val="79865F2F"/>
    <w:rsid w:val="79980124"/>
    <w:rsid w:val="79AC1322"/>
    <w:rsid w:val="79B6113C"/>
    <w:rsid w:val="7A240BE7"/>
    <w:rsid w:val="7A3754BE"/>
    <w:rsid w:val="7A3B3819"/>
    <w:rsid w:val="7A421C40"/>
    <w:rsid w:val="7A6B1E4D"/>
    <w:rsid w:val="7A9554CF"/>
    <w:rsid w:val="7AF83CFD"/>
    <w:rsid w:val="7B04234E"/>
    <w:rsid w:val="7B1C3CCF"/>
    <w:rsid w:val="7C5A4C10"/>
    <w:rsid w:val="7C693F22"/>
    <w:rsid w:val="7C6C5EE5"/>
    <w:rsid w:val="7D981A3D"/>
    <w:rsid w:val="7EDA4F10"/>
    <w:rsid w:val="7F0D3AEF"/>
    <w:rsid w:val="7F1F47DE"/>
    <w:rsid w:val="7F486550"/>
    <w:rsid w:val="7FE31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0" w:name="heading 6"/>
    <w:lsdException w:qFormat="1" w:unhideWhenUsed="0" w:uiPriority="9" w:semiHidden="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12"/>
    <w:qFormat/>
    <w:uiPriority w:val="0"/>
    <w:pPr>
      <w:keepNext/>
      <w:numPr>
        <w:ilvl w:val="0"/>
        <w:numId w:val="1"/>
      </w:numPr>
      <w:autoSpaceDE w:val="0"/>
      <w:autoSpaceDN w:val="0"/>
      <w:adjustRightInd w:val="0"/>
      <w:jc w:val="left"/>
      <w:outlineLvl w:val="0"/>
    </w:pPr>
    <w:rPr>
      <w:rFonts w:ascii="仿宋_GB2312" w:eastAsia="仿宋_GB2312"/>
      <w:b/>
      <w:bCs/>
      <w:color w:val="000000"/>
      <w:kern w:val="0"/>
      <w:sz w:val="28"/>
      <w:szCs w:val="20"/>
    </w:rPr>
  </w:style>
  <w:style w:type="paragraph" w:styleId="3">
    <w:name w:val="heading 2"/>
    <w:basedOn w:val="1"/>
    <w:next w:val="1"/>
    <w:link w:val="114"/>
    <w:qFormat/>
    <w:uiPriority w:val="0"/>
    <w:pPr>
      <w:keepNext/>
      <w:keepLines/>
      <w:numPr>
        <w:ilvl w:val="1"/>
        <w:numId w:val="1"/>
      </w:numPr>
      <w:spacing w:before="120" w:after="120" w:line="360" w:lineRule="auto"/>
      <w:jc w:val="center"/>
      <w:outlineLvl w:val="1"/>
    </w:pPr>
    <w:rPr>
      <w:rFonts w:ascii="Arial" w:hAnsi="Arial"/>
      <w:b/>
      <w:bCs/>
      <w:sz w:val="28"/>
      <w:szCs w:val="32"/>
    </w:rPr>
  </w:style>
  <w:style w:type="paragraph" w:styleId="4">
    <w:name w:val="heading 3"/>
    <w:basedOn w:val="1"/>
    <w:next w:val="1"/>
    <w:qFormat/>
    <w:uiPriority w:val="0"/>
    <w:pPr>
      <w:keepNext/>
      <w:keepLines/>
      <w:numPr>
        <w:ilvl w:val="2"/>
        <w:numId w:val="1"/>
      </w:numPr>
      <w:spacing w:before="120" w:after="120" w:line="360" w:lineRule="auto"/>
      <w:jc w:val="center"/>
      <w:outlineLvl w:val="2"/>
    </w:pPr>
    <w:rPr>
      <w:rFonts w:ascii="宋体"/>
      <w:b/>
      <w:bCs/>
      <w:sz w:val="24"/>
      <w:szCs w:val="32"/>
    </w:rPr>
  </w:style>
  <w:style w:type="paragraph" w:styleId="5">
    <w:name w:val="heading 4"/>
    <w:basedOn w:val="1"/>
    <w:next w:val="1"/>
    <w:qFormat/>
    <w:uiPriority w:val="0"/>
    <w:pPr>
      <w:keepNext/>
      <w:keepLines/>
      <w:spacing w:line="360" w:lineRule="auto"/>
      <w:outlineLvl w:val="3"/>
    </w:pPr>
    <w:rPr>
      <w:rFonts w:ascii="Arial" w:hAnsi="Arial"/>
      <w:b/>
    </w:rPr>
  </w:style>
  <w:style w:type="paragraph" w:styleId="6">
    <w:name w:val="heading 5"/>
    <w:basedOn w:val="1"/>
    <w:next w:val="1"/>
    <w:qFormat/>
    <w:uiPriority w:val="0"/>
    <w:pPr>
      <w:keepNext/>
      <w:keepLines/>
      <w:numPr>
        <w:ilvl w:val="4"/>
        <w:numId w:val="2"/>
      </w:numPr>
      <w:adjustRightInd w:val="0"/>
      <w:spacing w:before="280" w:after="290" w:line="376" w:lineRule="atLeast"/>
      <w:textAlignment w:val="baseline"/>
      <w:outlineLvl w:val="4"/>
    </w:pPr>
    <w:rPr>
      <w:b/>
      <w:kern w:val="0"/>
      <w:sz w:val="28"/>
    </w:rPr>
  </w:style>
  <w:style w:type="paragraph" w:styleId="7">
    <w:name w:val="heading 7"/>
    <w:basedOn w:val="1"/>
    <w:next w:val="1"/>
    <w:qFormat/>
    <w:uiPriority w:val="9"/>
    <w:pPr>
      <w:keepNext/>
      <w:keepLines/>
      <w:spacing w:before="240" w:after="64" w:line="320" w:lineRule="auto"/>
      <w:ind w:left="1526"/>
      <w:outlineLvl w:val="6"/>
    </w:pPr>
    <w:rPr>
      <w:b/>
      <w:bCs/>
      <w:sz w:val="28"/>
      <w:szCs w:val="24"/>
    </w:rPr>
  </w:style>
  <w:style w:type="character" w:default="1" w:styleId="40">
    <w:name w:val="Default Paragraph Font"/>
    <w:semiHidden/>
    <w:unhideWhenUsed/>
    <w:qFormat/>
    <w:uiPriority w:val="1"/>
  </w:style>
  <w:style w:type="table" w:default="1" w:styleId="38">
    <w:name w:val="Normal Table"/>
    <w:semiHidden/>
    <w:unhideWhenUsed/>
    <w:qFormat/>
    <w:uiPriority w:val="99"/>
    <w:tblPr>
      <w:tblCellMar>
        <w:top w:w="0" w:type="dxa"/>
        <w:left w:w="108" w:type="dxa"/>
        <w:bottom w:w="0" w:type="dxa"/>
        <w:right w:w="108" w:type="dxa"/>
      </w:tblCellMar>
    </w:tblPr>
  </w:style>
  <w:style w:type="paragraph" w:styleId="8">
    <w:name w:val="toc 7"/>
    <w:basedOn w:val="1"/>
    <w:next w:val="1"/>
    <w:qFormat/>
    <w:uiPriority w:val="0"/>
    <w:pPr>
      <w:ind w:left="1200" w:leftChars="1200"/>
    </w:pPr>
  </w:style>
  <w:style w:type="paragraph" w:styleId="9">
    <w:name w:val="Normal Indent"/>
    <w:basedOn w:val="1"/>
    <w:next w:val="1"/>
    <w:qFormat/>
    <w:uiPriority w:val="0"/>
    <w:pPr>
      <w:tabs>
        <w:tab w:val="left" w:pos="750"/>
      </w:tabs>
      <w:spacing w:beforeLines="50" w:line="300" w:lineRule="auto"/>
      <w:ind w:firstLine="200" w:firstLineChars="200"/>
    </w:pPr>
    <w:rPr>
      <w:rFonts w:ascii="宋体"/>
      <w:szCs w:val="20"/>
    </w:rPr>
  </w:style>
  <w:style w:type="paragraph" w:styleId="10">
    <w:name w:val="caption"/>
    <w:basedOn w:val="1"/>
    <w:next w:val="1"/>
    <w:qFormat/>
    <w:uiPriority w:val="0"/>
    <w:pPr>
      <w:spacing w:before="120" w:after="120" w:line="340" w:lineRule="exact"/>
      <w:jc w:val="center"/>
    </w:pPr>
    <w:rPr>
      <w:b/>
      <w:sz w:val="18"/>
      <w:szCs w:val="20"/>
    </w:rPr>
  </w:style>
  <w:style w:type="paragraph" w:styleId="11">
    <w:name w:val="Document Map"/>
    <w:basedOn w:val="1"/>
    <w:next w:val="7"/>
    <w:qFormat/>
    <w:uiPriority w:val="0"/>
    <w:pPr>
      <w:shd w:val="clear" w:color="auto" w:fill="000080"/>
    </w:pPr>
  </w:style>
  <w:style w:type="paragraph" w:styleId="12">
    <w:name w:val="toa heading"/>
    <w:basedOn w:val="1"/>
    <w:next w:val="1"/>
    <w:semiHidden/>
    <w:qFormat/>
    <w:uiPriority w:val="0"/>
    <w:pPr>
      <w:spacing w:before="120"/>
    </w:pPr>
    <w:rPr>
      <w:rFonts w:ascii="Arial" w:hAnsi="Arial" w:cs="Arial"/>
      <w:sz w:val="24"/>
    </w:rPr>
  </w:style>
  <w:style w:type="paragraph" w:styleId="13">
    <w:name w:val="annotation text"/>
    <w:basedOn w:val="1"/>
    <w:link w:val="110"/>
    <w:qFormat/>
    <w:uiPriority w:val="0"/>
    <w:pPr>
      <w:jc w:val="left"/>
    </w:pPr>
  </w:style>
  <w:style w:type="paragraph" w:styleId="14">
    <w:name w:val="Body Text"/>
    <w:basedOn w:val="1"/>
    <w:next w:val="15"/>
    <w:qFormat/>
    <w:uiPriority w:val="0"/>
    <w:pPr>
      <w:spacing w:after="120"/>
    </w:pPr>
  </w:style>
  <w:style w:type="paragraph" w:styleId="15">
    <w:name w:val="Subtitle"/>
    <w:basedOn w:val="1"/>
    <w:next w:val="1"/>
    <w:qFormat/>
    <w:uiPriority w:val="11"/>
    <w:pPr>
      <w:spacing w:before="240" w:after="60" w:line="312" w:lineRule="auto"/>
      <w:jc w:val="center"/>
      <w:outlineLvl w:val="1"/>
    </w:pPr>
    <w:rPr>
      <w:rFonts w:ascii="Cambria" w:hAnsi="Cambria"/>
      <w:b/>
      <w:bCs/>
      <w:kern w:val="28"/>
      <w:sz w:val="32"/>
      <w:szCs w:val="32"/>
    </w:rPr>
  </w:style>
  <w:style w:type="paragraph" w:styleId="16">
    <w:name w:val="Body Text Indent"/>
    <w:basedOn w:val="1"/>
    <w:next w:val="17"/>
    <w:qFormat/>
    <w:uiPriority w:val="0"/>
    <w:pPr>
      <w:ind w:firstLine="200" w:firstLineChars="200"/>
      <w:jc w:val="left"/>
    </w:pPr>
    <w:rPr>
      <w:rFonts w:ascii="仿宋_GB2312" w:eastAsia="仿宋_GB2312"/>
      <w:sz w:val="28"/>
    </w:rPr>
  </w:style>
  <w:style w:type="paragraph" w:styleId="17">
    <w:name w:val="Body Text First Indent 2"/>
    <w:basedOn w:val="16"/>
    <w:qFormat/>
    <w:uiPriority w:val="0"/>
    <w:pPr>
      <w:spacing w:after="120"/>
      <w:ind w:left="420" w:leftChars="200" w:firstLine="420"/>
    </w:pPr>
    <w:rPr>
      <w:color w:val="000000"/>
      <w:kern w:val="0"/>
      <w:sz w:val="24"/>
    </w:rPr>
  </w:style>
  <w:style w:type="paragraph" w:styleId="18">
    <w:name w:val="toc 5"/>
    <w:basedOn w:val="1"/>
    <w:next w:val="1"/>
    <w:qFormat/>
    <w:uiPriority w:val="0"/>
    <w:pPr>
      <w:ind w:left="800" w:leftChars="800"/>
    </w:pPr>
  </w:style>
  <w:style w:type="paragraph" w:styleId="19">
    <w:name w:val="toc 3"/>
    <w:basedOn w:val="1"/>
    <w:next w:val="1"/>
    <w:qFormat/>
    <w:uiPriority w:val="39"/>
    <w:pPr>
      <w:tabs>
        <w:tab w:val="right" w:leader="dot" w:pos="9515"/>
      </w:tabs>
      <w:ind w:left="400" w:leftChars="400"/>
    </w:pPr>
  </w:style>
  <w:style w:type="paragraph" w:styleId="20">
    <w:name w:val="Plain Text"/>
    <w:basedOn w:val="1"/>
    <w:next w:val="1"/>
    <w:link w:val="118"/>
    <w:qFormat/>
    <w:uiPriority w:val="0"/>
    <w:pPr>
      <w:autoSpaceDE w:val="0"/>
      <w:autoSpaceDN w:val="0"/>
      <w:adjustRightInd w:val="0"/>
      <w:jc w:val="left"/>
    </w:pPr>
    <w:rPr>
      <w:rFonts w:ascii="宋体"/>
      <w:kern w:val="0"/>
      <w:sz w:val="20"/>
    </w:rPr>
  </w:style>
  <w:style w:type="paragraph" w:styleId="21">
    <w:name w:val="toc 8"/>
    <w:basedOn w:val="1"/>
    <w:next w:val="1"/>
    <w:qFormat/>
    <w:uiPriority w:val="0"/>
    <w:pPr>
      <w:ind w:left="1400" w:leftChars="1400"/>
    </w:pPr>
  </w:style>
  <w:style w:type="paragraph" w:styleId="22">
    <w:name w:val="Date"/>
    <w:basedOn w:val="1"/>
    <w:next w:val="1"/>
    <w:qFormat/>
    <w:uiPriority w:val="0"/>
    <w:pPr>
      <w:ind w:left="2500" w:leftChars="2500"/>
    </w:pPr>
    <w:rPr>
      <w:rFonts w:ascii="仿宋_GB2312" w:eastAsia="仿宋_GB2312"/>
      <w:sz w:val="28"/>
    </w:rPr>
  </w:style>
  <w:style w:type="paragraph" w:styleId="23">
    <w:name w:val="Body Text Indent 2"/>
    <w:basedOn w:val="1"/>
    <w:qFormat/>
    <w:uiPriority w:val="0"/>
    <w:pPr>
      <w:spacing w:line="60" w:lineRule="auto"/>
      <w:ind w:firstLine="128" w:firstLineChars="128"/>
    </w:pPr>
    <w:rPr>
      <w:rFonts w:ascii="仿宋_GB2312" w:eastAsia="仿宋_GB2312"/>
      <w:sz w:val="28"/>
    </w:rPr>
  </w:style>
  <w:style w:type="paragraph" w:styleId="24">
    <w:name w:val="Balloon Text"/>
    <w:basedOn w:val="1"/>
    <w:qFormat/>
    <w:uiPriority w:val="0"/>
    <w:rPr>
      <w:sz w:val="18"/>
      <w:szCs w:val="18"/>
    </w:rPr>
  </w:style>
  <w:style w:type="paragraph" w:styleId="25">
    <w:name w:val="footer"/>
    <w:basedOn w:val="1"/>
    <w:link w:val="117"/>
    <w:qFormat/>
    <w:uiPriority w:val="0"/>
    <w:pPr>
      <w:tabs>
        <w:tab w:val="center" w:pos="4153"/>
        <w:tab w:val="right" w:pos="8306"/>
      </w:tabs>
      <w:adjustRightInd w:val="0"/>
      <w:spacing w:line="240" w:lineRule="atLeast"/>
      <w:jc w:val="left"/>
      <w:textAlignment w:val="baseline"/>
    </w:pPr>
    <w:rPr>
      <w:kern w:val="0"/>
      <w:sz w:val="18"/>
      <w:szCs w:val="20"/>
    </w:rPr>
  </w:style>
  <w:style w:type="paragraph" w:styleId="26">
    <w:name w:val="header"/>
    <w:basedOn w:val="1"/>
    <w:link w:val="113"/>
    <w:qFormat/>
    <w:uiPriority w:val="99"/>
    <w:pPr>
      <w:pBdr>
        <w:bottom w:val="single" w:color="auto" w:sz="6" w:space="1"/>
      </w:pBdr>
      <w:tabs>
        <w:tab w:val="center" w:pos="4153"/>
        <w:tab w:val="right" w:pos="8306"/>
      </w:tabs>
      <w:adjustRightInd w:val="0"/>
      <w:spacing w:line="240" w:lineRule="atLeast"/>
      <w:jc w:val="center"/>
      <w:textAlignment w:val="baseline"/>
    </w:pPr>
    <w:rPr>
      <w:kern w:val="0"/>
      <w:sz w:val="18"/>
      <w:szCs w:val="20"/>
    </w:rPr>
  </w:style>
  <w:style w:type="paragraph" w:styleId="27">
    <w:name w:val="toc 1"/>
    <w:basedOn w:val="1"/>
    <w:next w:val="1"/>
    <w:qFormat/>
    <w:uiPriority w:val="39"/>
  </w:style>
  <w:style w:type="paragraph" w:styleId="28">
    <w:name w:val="toc 4"/>
    <w:basedOn w:val="1"/>
    <w:next w:val="1"/>
    <w:qFormat/>
    <w:uiPriority w:val="0"/>
    <w:pPr>
      <w:ind w:left="600" w:leftChars="600"/>
    </w:pPr>
  </w:style>
  <w:style w:type="paragraph" w:styleId="29">
    <w:name w:val="toc 6"/>
    <w:basedOn w:val="1"/>
    <w:next w:val="1"/>
    <w:qFormat/>
    <w:uiPriority w:val="0"/>
    <w:pPr>
      <w:ind w:left="1000" w:leftChars="1000"/>
    </w:pPr>
  </w:style>
  <w:style w:type="paragraph" w:styleId="30">
    <w:name w:val="Body Text Indent 3"/>
    <w:basedOn w:val="1"/>
    <w:qFormat/>
    <w:uiPriority w:val="0"/>
    <w:pPr>
      <w:spacing w:line="360" w:lineRule="auto"/>
      <w:ind w:firstLine="192" w:firstLineChars="192"/>
    </w:pPr>
    <w:rPr>
      <w:rFonts w:ascii="仿宋_GB2312" w:eastAsia="仿宋_GB2312"/>
      <w:color w:val="3366FF"/>
      <w:sz w:val="24"/>
    </w:rPr>
  </w:style>
  <w:style w:type="paragraph" w:styleId="31">
    <w:name w:val="toc 2"/>
    <w:basedOn w:val="1"/>
    <w:next w:val="1"/>
    <w:qFormat/>
    <w:uiPriority w:val="39"/>
    <w:pPr>
      <w:ind w:left="60" w:firstLine="300"/>
    </w:pPr>
  </w:style>
  <w:style w:type="paragraph" w:styleId="32">
    <w:name w:val="toc 9"/>
    <w:basedOn w:val="1"/>
    <w:next w:val="1"/>
    <w:qFormat/>
    <w:uiPriority w:val="0"/>
    <w:pPr>
      <w:ind w:left="1600" w:leftChars="1600"/>
    </w:pPr>
  </w:style>
  <w:style w:type="paragraph" w:styleId="33">
    <w:name w:val="Body Text 2"/>
    <w:basedOn w:val="1"/>
    <w:qFormat/>
    <w:uiPriority w:val="0"/>
    <w:rPr>
      <w:rFonts w:ascii="宋体"/>
      <w:sz w:val="13"/>
      <w:szCs w:val="20"/>
    </w:rPr>
  </w:style>
  <w:style w:type="paragraph" w:styleId="34">
    <w:name w:val="Normal (Web)"/>
    <w:basedOn w:val="1"/>
    <w:qFormat/>
    <w:uiPriority w:val="0"/>
    <w:pPr>
      <w:spacing w:before="100" w:beforeAutospacing="1" w:after="100" w:afterAutospacing="1"/>
      <w:jc w:val="left"/>
    </w:pPr>
    <w:rPr>
      <w:kern w:val="0"/>
      <w:sz w:val="24"/>
    </w:rPr>
  </w:style>
  <w:style w:type="paragraph" w:styleId="35">
    <w:name w:val="Title"/>
    <w:basedOn w:val="1"/>
    <w:next w:val="1"/>
    <w:qFormat/>
    <w:uiPriority w:val="0"/>
    <w:pPr>
      <w:adjustRightInd w:val="0"/>
      <w:spacing w:line="360" w:lineRule="atLeast"/>
      <w:jc w:val="center"/>
      <w:textAlignment w:val="baseline"/>
      <w:outlineLvl w:val="0"/>
    </w:pPr>
    <w:rPr>
      <w:rFonts w:ascii="Arial" w:hAnsi="Arial" w:cs="Arial"/>
      <w:b/>
      <w:bCs/>
      <w:kern w:val="0"/>
      <w:sz w:val="32"/>
      <w:szCs w:val="32"/>
    </w:rPr>
  </w:style>
  <w:style w:type="paragraph" w:styleId="36">
    <w:name w:val="annotation subject"/>
    <w:basedOn w:val="13"/>
    <w:next w:val="13"/>
    <w:link w:val="115"/>
    <w:qFormat/>
    <w:uiPriority w:val="0"/>
    <w:rPr>
      <w:b/>
      <w:bCs/>
    </w:rPr>
  </w:style>
  <w:style w:type="paragraph" w:styleId="37">
    <w:name w:val="Body Text First Indent"/>
    <w:basedOn w:val="14"/>
    <w:qFormat/>
    <w:uiPriority w:val="0"/>
    <w:pPr>
      <w:tabs>
        <w:tab w:val="center" w:pos="2185"/>
      </w:tabs>
      <w:spacing w:beforeLines="50" w:after="0" w:line="300" w:lineRule="auto"/>
      <w:ind w:firstLine="200" w:firstLineChars="200"/>
    </w:pPr>
    <w:rPr>
      <w:rFonts w:ascii="楷体_GB2312" w:eastAsia="楷体_GB2312"/>
      <w:spacing w:val="4"/>
      <w:szCs w:val="20"/>
    </w:rPr>
  </w:style>
  <w:style w:type="table" w:styleId="39">
    <w:name w:val="Table Grid"/>
    <w:basedOn w:val="3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page number"/>
    <w:basedOn w:val="40"/>
    <w:qFormat/>
    <w:uiPriority w:val="0"/>
  </w:style>
  <w:style w:type="character" w:styleId="42">
    <w:name w:val="FollowedHyperlink"/>
    <w:qFormat/>
    <w:uiPriority w:val="0"/>
    <w:rPr>
      <w:color w:val="800080"/>
      <w:u w:val="single"/>
    </w:rPr>
  </w:style>
  <w:style w:type="character" w:styleId="43">
    <w:name w:val="Hyperlink"/>
    <w:qFormat/>
    <w:uiPriority w:val="99"/>
    <w:rPr>
      <w:color w:val="0000FF"/>
      <w:u w:val="single"/>
    </w:rPr>
  </w:style>
  <w:style w:type="character" w:styleId="44">
    <w:name w:val="annotation reference"/>
    <w:qFormat/>
    <w:uiPriority w:val="0"/>
    <w:rPr>
      <w:sz w:val="21"/>
      <w:szCs w:val="21"/>
    </w:rPr>
  </w:style>
  <w:style w:type="paragraph" w:customStyle="1" w:styleId="45">
    <w:name w:val="目录 51"/>
    <w:basedOn w:val="1"/>
    <w:next w:val="1"/>
    <w:qFormat/>
    <w:uiPriority w:val="39"/>
    <w:pPr>
      <w:ind w:left="840"/>
      <w:jc w:val="left"/>
    </w:pPr>
  </w:style>
  <w:style w:type="paragraph" w:customStyle="1" w:styleId="46">
    <w:name w:val="Default"/>
    <w:basedOn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7">
    <w:name w:val="_Style 39"/>
    <w:basedOn w:val="2"/>
    <w:next w:val="1"/>
    <w:qFormat/>
    <w:uiPriority w:val="0"/>
    <w:pPr>
      <w:keepLines/>
      <w:widowControl/>
      <w:numPr>
        <w:numId w:val="0"/>
      </w:numPr>
      <w:autoSpaceDE/>
      <w:autoSpaceDN/>
      <w:adjustRightInd/>
      <w:spacing w:before="480" w:line="276" w:lineRule="auto"/>
      <w:outlineLvl w:val="9"/>
    </w:pPr>
    <w:rPr>
      <w:rFonts w:ascii="Cambria" w:hAnsi="Cambria" w:eastAsia="宋体"/>
      <w:color w:val="365F91"/>
      <w:szCs w:val="28"/>
    </w:rPr>
  </w:style>
  <w:style w:type="paragraph" w:customStyle="1" w:styleId="48">
    <w:name w:val="xl37"/>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49">
    <w:name w:val="无间隔1"/>
    <w:qFormat/>
    <w:uiPriority w:val="0"/>
    <w:rPr>
      <w:rFonts w:ascii="Times New Roman" w:hAnsi="Times New Roman" w:eastAsia="宋体" w:cs="Times New Roman"/>
      <w:kern w:val="2"/>
      <w:sz w:val="22"/>
      <w:szCs w:val="22"/>
      <w:lang w:val="en-US" w:eastAsia="zh-CN" w:bidi="ar-SA"/>
    </w:rPr>
  </w:style>
  <w:style w:type="paragraph" w:customStyle="1" w:styleId="50">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kern w:val="0"/>
      <w:sz w:val="20"/>
      <w:szCs w:val="20"/>
    </w:rPr>
  </w:style>
  <w:style w:type="paragraph" w:customStyle="1" w:styleId="51">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52">
    <w:name w:val="xl27"/>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3">
    <w:name w:val="xl29"/>
    <w:basedOn w:val="1"/>
    <w:qFormat/>
    <w:uiPriority w:val="0"/>
    <w:pPr>
      <w:widowControl/>
      <w:pBdr>
        <w:bottom w:val="single" w:color="auto" w:sz="8" w:space="0"/>
      </w:pBdr>
      <w:spacing w:before="100" w:beforeAutospacing="1" w:after="100" w:afterAutospacing="1"/>
      <w:textAlignment w:val="top"/>
    </w:pPr>
    <w:rPr>
      <w:rFonts w:ascii="仿宋_GB2312" w:eastAsia="仿宋_GB2312"/>
      <w:kern w:val="0"/>
      <w:sz w:val="24"/>
    </w:rPr>
  </w:style>
  <w:style w:type="paragraph" w:customStyle="1" w:styleId="54">
    <w:name w:val="xl52"/>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textAlignment w:val="center"/>
    </w:pPr>
    <w:rPr>
      <w:kern w:val="0"/>
      <w:sz w:val="20"/>
      <w:szCs w:val="20"/>
    </w:rPr>
  </w:style>
  <w:style w:type="paragraph" w:customStyle="1" w:styleId="55">
    <w:name w:val="xl24"/>
    <w:basedOn w:val="1"/>
    <w:qFormat/>
    <w:uiPriority w:val="0"/>
    <w:pPr>
      <w:widowControl/>
      <w:pBdr>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56">
    <w:name w:val="xl43"/>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7">
    <w:name w:val="xl3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58">
    <w:name w:val="xl41"/>
    <w:basedOn w:val="1"/>
    <w:qFormat/>
    <w:uiPriority w:val="0"/>
    <w:pPr>
      <w:widowControl/>
      <w:pBdr>
        <w:top w:val="single" w:color="000000" w:sz="8" w:space="0"/>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59">
    <w:name w:val="xl58"/>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60">
    <w:name w:val="xl35"/>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61">
    <w:name w:val="font9"/>
    <w:basedOn w:val="1"/>
    <w:qFormat/>
    <w:uiPriority w:val="0"/>
    <w:pPr>
      <w:widowControl/>
      <w:spacing w:before="100" w:beforeAutospacing="1" w:after="100" w:afterAutospacing="1"/>
      <w:jc w:val="left"/>
    </w:pPr>
    <w:rPr>
      <w:rFonts w:ascii="宋体"/>
      <w:b/>
      <w:bCs/>
      <w:color w:val="000000"/>
      <w:kern w:val="0"/>
      <w:sz w:val="18"/>
      <w:szCs w:val="18"/>
    </w:rPr>
  </w:style>
  <w:style w:type="paragraph" w:customStyle="1" w:styleId="62">
    <w:name w:val="列出段落1"/>
    <w:basedOn w:val="1"/>
    <w:qFormat/>
    <w:uiPriority w:val="0"/>
    <w:pPr>
      <w:ind w:firstLine="420" w:firstLineChars="200"/>
    </w:pPr>
    <w:rPr>
      <w:rFonts w:ascii="Calibri" w:hAnsi="Calibri"/>
      <w:szCs w:val="22"/>
    </w:rPr>
  </w:style>
  <w:style w:type="paragraph" w:customStyle="1" w:styleId="63">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kern w:val="0"/>
      <w:sz w:val="20"/>
      <w:szCs w:val="20"/>
    </w:rPr>
  </w:style>
  <w:style w:type="paragraph" w:customStyle="1" w:styleId="64">
    <w:name w:val="xl40"/>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textAlignment w:val="center"/>
    </w:pPr>
    <w:rPr>
      <w:rFonts w:ascii="仿宋_GB2312" w:eastAsia="仿宋_GB2312"/>
      <w:b/>
      <w:bCs/>
      <w:kern w:val="0"/>
      <w:sz w:val="24"/>
    </w:rPr>
  </w:style>
  <w:style w:type="paragraph" w:customStyle="1" w:styleId="65">
    <w:name w:val="xl30"/>
    <w:basedOn w:val="1"/>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6">
    <w:name w:val="xl49"/>
    <w:basedOn w:val="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textAlignment w:val="center"/>
    </w:pPr>
    <w:rPr>
      <w:kern w:val="0"/>
      <w:sz w:val="20"/>
      <w:szCs w:val="20"/>
    </w:rPr>
  </w:style>
  <w:style w:type="paragraph" w:customStyle="1" w:styleId="67">
    <w:name w:val="xl63"/>
    <w:basedOn w:val="1"/>
    <w:qFormat/>
    <w:uiPriority w:val="0"/>
    <w:pPr>
      <w:widowControl/>
      <w:pBdr>
        <w:top w:val="single" w:color="auto" w:sz="4" w:space="0"/>
        <w:left w:val="single" w:color="auto" w:sz="4" w:space="0"/>
        <w:right w:val="single" w:color="auto" w:sz="4" w:space="0"/>
      </w:pBdr>
      <w:spacing w:before="100" w:beforeAutospacing="1" w:after="100" w:afterAutospacing="1"/>
      <w:textAlignment w:val="center"/>
    </w:pPr>
    <w:rPr>
      <w:rFonts w:ascii="宋体"/>
      <w:kern w:val="0"/>
      <w:sz w:val="20"/>
      <w:szCs w:val="20"/>
    </w:rPr>
  </w:style>
  <w:style w:type="paragraph" w:customStyle="1" w:styleId="68">
    <w:name w:val="Bullet_Title"/>
    <w:basedOn w:val="1"/>
    <w:qFormat/>
    <w:uiPriority w:val="0"/>
    <w:pPr>
      <w:numPr>
        <w:ilvl w:val="0"/>
        <w:numId w:val="3"/>
      </w:numPr>
      <w:spacing w:after="78" w:line="300" w:lineRule="auto"/>
    </w:pPr>
    <w:rPr>
      <w:rFonts w:ascii="Arial Narrow" w:hAnsi="Arial Narrow"/>
      <w:sz w:val="24"/>
      <w:szCs w:val="20"/>
    </w:rPr>
  </w:style>
  <w:style w:type="paragraph" w:customStyle="1" w:styleId="69">
    <w:name w:val="xl23"/>
    <w:next w:val="70"/>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70">
    <w:name w:val="xl28"/>
    <w:basedOn w:val="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1">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kern w:val="0"/>
      <w:sz w:val="20"/>
      <w:szCs w:val="20"/>
    </w:rPr>
  </w:style>
  <w:style w:type="paragraph" w:customStyle="1" w:styleId="72">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73">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textAlignment w:val="center"/>
    </w:pPr>
    <w:rPr>
      <w:rFonts w:ascii="宋体"/>
      <w:kern w:val="0"/>
      <w:sz w:val="20"/>
      <w:szCs w:val="20"/>
    </w:rPr>
  </w:style>
  <w:style w:type="paragraph" w:customStyle="1" w:styleId="74">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75">
    <w:name w:val="无间隔11"/>
    <w:qFormat/>
    <w:uiPriority w:val="0"/>
    <w:rPr>
      <w:rFonts w:ascii="Times New Roman" w:hAnsi="Times New Roman" w:eastAsia="宋体" w:cs="Times New Roman"/>
      <w:kern w:val="2"/>
      <w:sz w:val="22"/>
      <w:szCs w:val="22"/>
      <w:lang w:val="en-US" w:eastAsia="zh-CN" w:bidi="ar-SA"/>
    </w:rPr>
  </w:style>
  <w:style w:type="paragraph" w:customStyle="1" w:styleId="76">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textAlignment w:val="center"/>
    </w:pPr>
    <w:rPr>
      <w:rFonts w:ascii="仿宋_GB2312" w:eastAsia="仿宋_GB2312"/>
      <w:b/>
      <w:bCs/>
      <w:kern w:val="0"/>
      <w:sz w:val="24"/>
    </w:rPr>
  </w:style>
  <w:style w:type="paragraph" w:customStyle="1" w:styleId="77">
    <w:name w:val="Char"/>
    <w:basedOn w:val="1"/>
    <w:qFormat/>
    <w:uiPriority w:val="0"/>
  </w:style>
  <w:style w:type="paragraph" w:customStyle="1" w:styleId="78">
    <w:name w:val="xl26"/>
    <w:basedOn w:val="1"/>
    <w:qFormat/>
    <w:uiPriority w:val="0"/>
    <w:pPr>
      <w:widowControl/>
      <w:pBdr>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79">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80">
    <w:name w:val="列出段落11"/>
    <w:basedOn w:val="1"/>
    <w:qFormat/>
    <w:uiPriority w:val="99"/>
    <w:pPr>
      <w:ind w:firstLine="420" w:firstLineChars="200"/>
    </w:pPr>
  </w:style>
  <w:style w:type="paragraph" w:customStyle="1" w:styleId="81">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82">
    <w:name w:val="采购申报表备注"/>
    <w:basedOn w:val="1"/>
    <w:qFormat/>
    <w:uiPriority w:val="0"/>
    <w:pPr>
      <w:tabs>
        <w:tab w:val="left" w:pos="2634"/>
      </w:tabs>
    </w:pPr>
    <w:rPr>
      <w:rFonts w:ascii="仿宋_GB2312" w:eastAsia="仿宋_GB2312"/>
    </w:rPr>
  </w:style>
  <w:style w:type="paragraph" w:customStyle="1" w:styleId="83">
    <w:name w:val="Char Char Char2 Char Char Char Char Char Char"/>
    <w:basedOn w:val="1"/>
    <w:qFormat/>
    <w:uiPriority w:val="0"/>
    <w:pPr>
      <w:snapToGrid w:val="0"/>
      <w:jc w:val="center"/>
    </w:pPr>
  </w:style>
  <w:style w:type="paragraph" w:customStyle="1" w:styleId="84">
    <w:name w:val="Char Char Char Char Char Char Char"/>
    <w:basedOn w:val="1"/>
    <w:qFormat/>
    <w:uiPriority w:val="0"/>
    <w:pPr>
      <w:snapToGrid w:val="0"/>
      <w:spacing w:line="360" w:lineRule="auto"/>
      <w:ind w:firstLine="200" w:firstLineChars="200"/>
    </w:pPr>
  </w:style>
  <w:style w:type="paragraph" w:customStyle="1" w:styleId="85">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86">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宋体"/>
      <w:kern w:val="0"/>
      <w:sz w:val="24"/>
    </w:rPr>
  </w:style>
  <w:style w:type="paragraph" w:customStyle="1" w:styleId="87">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kern w:val="0"/>
      <w:sz w:val="20"/>
      <w:szCs w:val="20"/>
    </w:rPr>
  </w:style>
  <w:style w:type="paragraph" w:customStyle="1" w:styleId="88">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9">
    <w:name w:val="font8"/>
    <w:basedOn w:val="1"/>
    <w:qFormat/>
    <w:uiPriority w:val="0"/>
    <w:pPr>
      <w:widowControl/>
      <w:spacing w:before="100" w:beforeAutospacing="1" w:after="100" w:afterAutospacing="1"/>
      <w:jc w:val="left"/>
    </w:pPr>
    <w:rPr>
      <w:kern w:val="0"/>
      <w:sz w:val="20"/>
      <w:szCs w:val="20"/>
    </w:rPr>
  </w:style>
  <w:style w:type="paragraph" w:customStyle="1" w:styleId="90">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1">
    <w:name w:val="Char Char Char Char Char Char Char Char Char Char"/>
    <w:basedOn w:val="1"/>
    <w:qFormat/>
    <w:uiPriority w:val="0"/>
    <w:rPr>
      <w:rFonts w:ascii="Tahoma" w:hAnsi="Tahoma"/>
      <w:sz w:val="24"/>
      <w:szCs w:val="20"/>
    </w:rPr>
  </w:style>
  <w:style w:type="paragraph" w:customStyle="1" w:styleId="92">
    <w:name w:val="_Style 83"/>
    <w:next w:val="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3">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94">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5">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textAlignment w:val="center"/>
    </w:pPr>
    <w:rPr>
      <w:rFonts w:ascii="宋体"/>
      <w:kern w:val="0"/>
      <w:sz w:val="24"/>
    </w:rPr>
  </w:style>
  <w:style w:type="paragraph" w:customStyle="1" w:styleId="96">
    <w:name w:val="xl39"/>
    <w:basedOn w:val="1"/>
    <w:qFormat/>
    <w:uiPriority w:val="0"/>
    <w:pPr>
      <w:widowControl/>
      <w:pBdr>
        <w:top w:val="single" w:color="auto" w:sz="8" w:space="0"/>
        <w:bottom w:val="single" w:color="auto" w:sz="8" w:space="0"/>
      </w:pBdr>
      <w:spacing w:before="100" w:beforeAutospacing="1" w:after="100" w:afterAutospacing="1"/>
      <w:jc w:val="center"/>
      <w:textAlignment w:val="center"/>
    </w:pPr>
    <w:rPr>
      <w:rFonts w:ascii="仿宋_GB2312" w:eastAsia="仿宋_GB2312"/>
      <w:b/>
      <w:bCs/>
      <w:kern w:val="0"/>
      <w:sz w:val="24"/>
    </w:rPr>
  </w:style>
  <w:style w:type="paragraph" w:customStyle="1" w:styleId="97">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宋体"/>
      <w:kern w:val="0"/>
      <w:sz w:val="20"/>
      <w:szCs w:val="20"/>
    </w:rPr>
  </w:style>
  <w:style w:type="paragraph" w:customStyle="1" w:styleId="98">
    <w:name w:val="采购申报表正文"/>
    <w:basedOn w:val="1"/>
    <w:qFormat/>
    <w:uiPriority w:val="0"/>
    <w:rPr>
      <w:rFonts w:ascii="仿宋_GB2312" w:eastAsia="仿宋_GB2312"/>
      <w:szCs w:val="28"/>
    </w:rPr>
  </w:style>
  <w:style w:type="paragraph" w:customStyle="1" w:styleId="99">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100">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101">
    <w:name w:val="xl47"/>
    <w:basedOn w:val="1"/>
    <w:qFormat/>
    <w:uiPriority w:val="0"/>
    <w:pPr>
      <w:widowControl/>
      <w:pBdr>
        <w:left w:val="single" w:color="auto" w:sz="8" w:space="0"/>
        <w:right w:val="single" w:color="auto" w:sz="8" w:space="0"/>
      </w:pBdr>
      <w:spacing w:before="100" w:beforeAutospacing="1" w:after="100" w:afterAutospacing="1"/>
      <w:jc w:val="center"/>
      <w:textAlignment w:val="center"/>
    </w:pPr>
    <w:rPr>
      <w:rFonts w:ascii="宋体"/>
      <w:kern w:val="0"/>
      <w:sz w:val="24"/>
    </w:rPr>
  </w:style>
  <w:style w:type="paragraph" w:customStyle="1" w:styleId="102">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3">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4">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textAlignment w:val="top"/>
    </w:pPr>
    <w:rPr>
      <w:rFonts w:ascii="仿宋_GB2312" w:eastAsia="仿宋_GB2312"/>
      <w:kern w:val="0"/>
      <w:sz w:val="24"/>
    </w:rPr>
  </w:style>
  <w:style w:type="paragraph" w:customStyle="1" w:styleId="105">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6">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107">
    <w:name w:val="xl42"/>
    <w:basedOn w:val="1"/>
    <w:qFormat/>
    <w:uiPriority w:val="0"/>
    <w:pPr>
      <w:widowControl/>
      <w:pBdr>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108">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textAlignment w:val="center"/>
    </w:pPr>
    <w:rPr>
      <w:kern w:val="0"/>
      <w:sz w:val="20"/>
      <w:szCs w:val="20"/>
    </w:rPr>
  </w:style>
  <w:style w:type="paragraph" w:customStyle="1" w:styleId="109">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kern w:val="0"/>
      <w:sz w:val="20"/>
      <w:szCs w:val="20"/>
    </w:rPr>
  </w:style>
  <w:style w:type="character" w:customStyle="1" w:styleId="110">
    <w:name w:val="批注文字 字符"/>
    <w:link w:val="13"/>
    <w:qFormat/>
    <w:uiPriority w:val="0"/>
    <w:rPr>
      <w:kern w:val="2"/>
      <w:sz w:val="21"/>
      <w:szCs w:val="24"/>
    </w:rPr>
  </w:style>
  <w:style w:type="character" w:customStyle="1" w:styleId="111">
    <w:name w:val="grame"/>
    <w:basedOn w:val="40"/>
    <w:qFormat/>
    <w:uiPriority w:val="0"/>
  </w:style>
  <w:style w:type="character" w:customStyle="1" w:styleId="112">
    <w:name w:val="标题 1 字符"/>
    <w:link w:val="2"/>
    <w:qFormat/>
    <w:uiPriority w:val="0"/>
    <w:rPr>
      <w:rFonts w:ascii="仿宋_GB2312" w:eastAsia="仿宋_GB2312"/>
      <w:b/>
      <w:bCs/>
      <w:color w:val="000000"/>
      <w:kern w:val="0"/>
      <w:sz w:val="28"/>
      <w:szCs w:val="20"/>
    </w:rPr>
  </w:style>
  <w:style w:type="character" w:customStyle="1" w:styleId="113">
    <w:name w:val="页眉 字符"/>
    <w:link w:val="26"/>
    <w:qFormat/>
    <w:uiPriority w:val="99"/>
    <w:rPr>
      <w:sz w:val="18"/>
    </w:rPr>
  </w:style>
  <w:style w:type="character" w:customStyle="1" w:styleId="114">
    <w:name w:val="标题 2 字符"/>
    <w:link w:val="3"/>
    <w:qFormat/>
    <w:uiPriority w:val="0"/>
    <w:rPr>
      <w:rFonts w:ascii="Arial" w:hAnsi="Arial"/>
      <w:b/>
      <w:bCs/>
      <w:kern w:val="2"/>
      <w:sz w:val="28"/>
      <w:szCs w:val="32"/>
    </w:rPr>
  </w:style>
  <w:style w:type="character" w:customStyle="1" w:styleId="115">
    <w:name w:val="批注主题 字符"/>
    <w:link w:val="36"/>
    <w:qFormat/>
    <w:uiPriority w:val="0"/>
    <w:rPr>
      <w:b/>
      <w:bCs/>
      <w:kern w:val="2"/>
      <w:sz w:val="21"/>
      <w:szCs w:val="24"/>
    </w:rPr>
  </w:style>
  <w:style w:type="character" w:customStyle="1" w:styleId="116">
    <w:name w:val="dy_biao_content1"/>
    <w:qFormat/>
    <w:uiPriority w:val="0"/>
    <w:rPr>
      <w:rFonts w:hint="eastAsia" w:ascii="宋体" w:hAnsi="宋体" w:eastAsia="宋体"/>
      <w:sz w:val="24"/>
      <w:szCs w:val="24"/>
    </w:rPr>
  </w:style>
  <w:style w:type="character" w:customStyle="1" w:styleId="117">
    <w:name w:val="页脚 字符"/>
    <w:link w:val="25"/>
    <w:qFormat/>
    <w:uiPriority w:val="0"/>
    <w:rPr>
      <w:rFonts w:eastAsia="宋体"/>
      <w:sz w:val="18"/>
      <w:lang w:bidi="ar-SA"/>
    </w:rPr>
  </w:style>
  <w:style w:type="character" w:customStyle="1" w:styleId="118">
    <w:name w:val="纯文本 字符"/>
    <w:link w:val="20"/>
    <w:qFormat/>
    <w:uiPriority w:val="0"/>
    <w:rPr>
      <w:rFonts w:ascii="宋体" w:eastAsia="宋体"/>
      <w:szCs w:val="24"/>
      <w:lang w:val="en-US" w:eastAsia="zh-CN" w:bidi="ar-SA"/>
    </w:rPr>
  </w:style>
  <w:style w:type="paragraph" w:customStyle="1" w:styleId="119">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20">
    <w:name w:val="列出段落2"/>
    <w:basedOn w:val="1"/>
    <w:qFormat/>
    <w:uiPriority w:val="1"/>
    <w:pPr>
      <w:spacing w:before="139"/>
      <w:ind w:left="738" w:firstLine="420"/>
    </w:pPr>
    <w:rPr>
      <w:rFonts w:ascii="宋体" w:hAnsi="宋体" w:cs="宋体"/>
      <w:lang w:val="zh-CN" w:bidi="zh-CN"/>
    </w:rPr>
  </w:style>
  <w:style w:type="paragraph" w:customStyle="1" w:styleId="121">
    <w:name w:val="修订1"/>
    <w:hidden/>
    <w:semiHidden/>
    <w:qFormat/>
    <w:uiPriority w:val="99"/>
    <w:rPr>
      <w:rFonts w:ascii="Times New Roman" w:hAnsi="Times New Roman" w:eastAsia="宋体" w:cs="Times New Roman"/>
      <w:kern w:val="2"/>
      <w:sz w:val="21"/>
      <w:szCs w:val="24"/>
      <w:lang w:val="en-US" w:eastAsia="zh-CN" w:bidi="ar-SA"/>
    </w:rPr>
  </w:style>
  <w:style w:type="paragraph" w:customStyle="1" w:styleId="122">
    <w:name w:val="段落"/>
    <w:basedOn w:val="1"/>
    <w:qFormat/>
    <w:uiPriority w:val="0"/>
    <w:pPr>
      <w:spacing w:line="360" w:lineRule="auto"/>
      <w:ind w:firstLine="200" w:firstLineChars="200"/>
    </w:pPr>
    <w:rPr>
      <w:rFonts w:ascii="宋体" w:hAnsi="宋体"/>
      <w:sz w:val="24"/>
    </w:rPr>
  </w:style>
  <w:style w:type="paragraph" w:customStyle="1" w:styleId="123">
    <w:name w:val="普通正文"/>
    <w:basedOn w:val="1"/>
    <w:qFormat/>
    <w:uiPriority w:val="0"/>
    <w:pPr>
      <w:spacing w:before="120" w:after="120" w:line="360" w:lineRule="auto"/>
      <w:ind w:firstLine="480"/>
      <w:textAlignment w:val="baseline"/>
    </w:pPr>
    <w:rPr>
      <w:rFonts w:ascii="Arial" w:hAnsi="Arial" w:eastAsia="仿宋"/>
      <w:sz w:val="24"/>
    </w:rPr>
  </w:style>
  <w:style w:type="paragraph" w:customStyle="1" w:styleId="124">
    <w:name w:val="正文1"/>
    <w:qFormat/>
    <w:uiPriority w:val="0"/>
    <w:pPr>
      <w:spacing w:line="360" w:lineRule="auto"/>
      <w:textAlignment w:val="baseline"/>
    </w:pPr>
    <w:rPr>
      <w:rFonts w:ascii="Times New Roman" w:hAnsi="Times New Roman" w:eastAsia="仿宋_GB2312" w:cstheme="minorBidi"/>
      <w:kern w:val="2"/>
      <w:sz w:val="24"/>
      <w:szCs w:val="24"/>
      <w:lang w:val="en-US" w:eastAsia="zh-CN" w:bidi="ar-SA"/>
    </w:rPr>
  </w:style>
  <w:style w:type="character" w:customStyle="1" w:styleId="125">
    <w:name w:val="NormalCharacter"/>
    <w:qFormat/>
    <w:uiPriority w:val="0"/>
    <w:rPr>
      <w:rFonts w:ascii="Calibri" w:hAnsi="Calibri" w:eastAsia="宋体"/>
    </w:rPr>
  </w:style>
  <w:style w:type="paragraph" w:customStyle="1" w:styleId="126">
    <w:name w:val="TOC3"/>
    <w:basedOn w:val="1"/>
    <w:next w:val="1"/>
    <w:qFormat/>
    <w:uiPriority w:val="0"/>
    <w:pPr>
      <w:widowControl/>
      <w:spacing w:line="360" w:lineRule="auto"/>
      <w:ind w:left="840" w:leftChars="400" w:firstLine="200" w:firstLineChars="200"/>
      <w:jc w:val="left"/>
      <w:textAlignment w:val="baseline"/>
    </w:pPr>
    <w:rPr>
      <w:rFonts w:ascii="Calibri" w:hAnsi="Calibri" w:cstheme="minorBidi"/>
      <w:sz w:val="24"/>
    </w:rPr>
  </w:style>
  <w:style w:type="paragraph" w:customStyle="1" w:styleId="127">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8">
    <w:name w:val="Normal_2"/>
    <w:qFormat/>
    <w:uiPriority w:val="0"/>
    <w:pPr>
      <w:widowControl w:val="0"/>
      <w:jc w:val="both"/>
    </w:pPr>
    <w:rPr>
      <w:rFonts w:ascii="Calibri" w:hAnsi="Calibri" w:eastAsia="宋体" w:cs="Times New Roman"/>
      <w:lang w:val="en-US" w:eastAsia="zh-CN" w:bidi="ar-SA"/>
    </w:rPr>
  </w:style>
  <w:style w:type="character" w:customStyle="1" w:styleId="129">
    <w:name w:val="font101"/>
    <w:basedOn w:val="40"/>
    <w:qFormat/>
    <w:uiPriority w:val="0"/>
    <w:rPr>
      <w:rFonts w:hint="default" w:ascii="Tahoma" w:hAnsi="Tahoma" w:eastAsia="Tahoma" w:cs="Tahoma"/>
      <w:color w:val="000000"/>
      <w:sz w:val="18"/>
      <w:szCs w:val="18"/>
      <w:u w:val="none"/>
    </w:rPr>
  </w:style>
  <w:style w:type="character" w:customStyle="1" w:styleId="130">
    <w:name w:val="font161"/>
    <w:basedOn w:val="40"/>
    <w:qFormat/>
    <w:uiPriority w:val="0"/>
    <w:rPr>
      <w:rFonts w:hint="eastAsia" w:ascii="宋体" w:hAnsi="宋体" w:eastAsia="宋体" w:cs="宋体"/>
      <w:color w:val="000000"/>
      <w:sz w:val="18"/>
      <w:szCs w:val="18"/>
      <w:u w:val="none"/>
    </w:rPr>
  </w:style>
  <w:style w:type="paragraph" w:customStyle="1" w:styleId="131">
    <w:name w:val="msolistparagraph"/>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eastAsia" w:ascii="等线" w:hAnsi="等线" w:eastAsia="等线" w:cs="Times New Roman"/>
      <w:kern w:val="2"/>
      <w:sz w:val="21"/>
      <w:szCs w:val="22"/>
      <w:lang w:val="en-US" w:eastAsia="zh-CN" w:bidi="ar"/>
    </w:rPr>
  </w:style>
  <w:style w:type="character" w:customStyle="1" w:styleId="132">
    <w:name w:val="font31"/>
    <w:basedOn w:val="40"/>
    <w:qFormat/>
    <w:uiPriority w:val="0"/>
    <w:rPr>
      <w:rFonts w:hint="eastAsia" w:ascii="宋体" w:hAnsi="宋体" w:eastAsia="宋体" w:cs="宋体"/>
      <w:color w:val="000000"/>
      <w:sz w:val="18"/>
      <w:szCs w:val="18"/>
      <w:u w:val="none"/>
    </w:rPr>
  </w:style>
  <w:style w:type="character" w:customStyle="1" w:styleId="133">
    <w:name w:val="font51"/>
    <w:basedOn w:val="40"/>
    <w:qFormat/>
    <w:uiPriority w:val="0"/>
    <w:rPr>
      <w:rFonts w:hint="default" w:ascii="Times New Roman" w:hAnsi="Times New Roman" w:cs="Times New Roman"/>
      <w:color w:val="000000"/>
      <w:sz w:val="18"/>
      <w:szCs w:val="18"/>
      <w:u w:val="none"/>
    </w:rPr>
  </w:style>
  <w:style w:type="character" w:customStyle="1" w:styleId="134">
    <w:name w:val="font61"/>
    <w:basedOn w:val="40"/>
    <w:qFormat/>
    <w:uiPriority w:val="0"/>
    <w:rPr>
      <w:rFonts w:hint="default" w:ascii="Times New Roman" w:hAnsi="Times New Roman" w:cs="Times New Roman"/>
      <w:color w:val="000000"/>
      <w:sz w:val="22"/>
      <w:szCs w:val="22"/>
      <w:u w:val="none"/>
    </w:rPr>
  </w:style>
  <w:style w:type="paragraph" w:customStyle="1" w:styleId="135">
    <w:name w:val="文档结构图1"/>
    <w:basedOn w:val="1"/>
    <w:qFormat/>
    <w:uiPriority w:val="0"/>
  </w:style>
  <w:style w:type="paragraph" w:customStyle="1" w:styleId="136">
    <w:name w:val="正文（标准）"/>
    <w:basedOn w:val="137"/>
    <w:next w:val="1"/>
    <w:semiHidden/>
    <w:qFormat/>
    <w:uiPriority w:val="0"/>
    <w:pPr>
      <w:ind w:firstLine="525"/>
    </w:pPr>
    <w:rPr>
      <w:rFonts w:ascii="宋体" w:hAnsi="宋体"/>
    </w:rPr>
  </w:style>
  <w:style w:type="paragraph" w:customStyle="1" w:styleId="137">
    <w:name w:val="Normal_0"/>
    <w:next w:val="136"/>
    <w:qFormat/>
    <w:uiPriority w:val="0"/>
    <w:pPr>
      <w:widowControl w:val="0"/>
      <w:spacing w:after="200" w:line="276" w:lineRule="auto"/>
      <w:jc w:val="both"/>
    </w:pPr>
    <w:rPr>
      <w:rFonts w:ascii="Calibri" w:hAnsi="Calibri" w:eastAsia="宋体" w:cs="Times New Roman"/>
      <w:lang w:val="en-US" w:eastAsia="zh-CN" w:bidi="ar-SA"/>
    </w:rPr>
  </w:style>
  <w:style w:type="paragraph" w:styleId="138">
    <w:name w:val="List Paragraph"/>
    <w:basedOn w:val="1"/>
    <w:qFormat/>
    <w:uiPriority w:val="34"/>
    <w:pPr>
      <w:ind w:left="720"/>
      <w:contextualSpacing/>
    </w:pPr>
  </w:style>
  <w:style w:type="character" w:customStyle="1" w:styleId="139">
    <w:name w:val="font41"/>
    <w:basedOn w:val="40"/>
    <w:qFormat/>
    <w:uiPriority w:val="0"/>
    <w:rPr>
      <w:rFonts w:hint="eastAsia" w:ascii="宋体" w:hAnsi="宋体" w:eastAsia="宋体" w:cs="宋体"/>
      <w:color w:val="000000"/>
      <w:sz w:val="24"/>
      <w:szCs w:val="24"/>
      <w:u w:val="none"/>
    </w:rPr>
  </w:style>
  <w:style w:type="character" w:customStyle="1" w:styleId="140">
    <w:name w:val="font71"/>
    <w:basedOn w:val="40"/>
    <w:qFormat/>
    <w:uiPriority w:val="0"/>
    <w:rPr>
      <w:rFonts w:ascii="微软雅黑" w:hAnsi="微软雅黑" w:eastAsia="微软雅黑" w:cs="微软雅黑"/>
      <w:color w:val="000000"/>
      <w:sz w:val="24"/>
      <w:szCs w:val="24"/>
      <w:u w:val="none"/>
    </w:rPr>
  </w:style>
  <w:style w:type="character" w:customStyle="1" w:styleId="141">
    <w:name w:val="font21"/>
    <w:basedOn w:val="40"/>
    <w:qFormat/>
    <w:uiPriority w:val="0"/>
    <w:rPr>
      <w:rFonts w:hint="eastAsia" w:ascii="宋体" w:hAnsi="宋体" w:eastAsia="宋体" w:cs="宋体"/>
      <w:b/>
      <w:bCs/>
      <w:color w:val="000000"/>
      <w:sz w:val="24"/>
      <w:szCs w:val="24"/>
      <w:u w:val="none"/>
    </w:rPr>
  </w:style>
  <w:style w:type="character" w:customStyle="1" w:styleId="142">
    <w:name w:val="font91"/>
    <w:basedOn w:val="40"/>
    <w:qFormat/>
    <w:uiPriority w:val="0"/>
    <w:rPr>
      <w:rFonts w:hint="eastAsia" w:ascii="宋体" w:hAnsi="宋体" w:eastAsia="宋体" w:cs="宋体"/>
      <w:b/>
      <w:bCs/>
      <w:color w:val="FF0000"/>
      <w:sz w:val="24"/>
      <w:szCs w:val="24"/>
      <w:u w:val="none"/>
    </w:rPr>
  </w:style>
  <w:style w:type="character" w:customStyle="1" w:styleId="143">
    <w:name w:val="font81"/>
    <w:basedOn w:val="40"/>
    <w:qFormat/>
    <w:uiPriority w:val="0"/>
    <w:rPr>
      <w:rFonts w:hint="eastAsia" w:ascii="仿宋" w:hAnsi="仿宋" w:eastAsia="仿宋" w:cs="仿宋"/>
      <w:b/>
      <w:bC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216B67C-0B80-45FC-B471-5A1C5145D405}">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36</Pages>
  <Words>15950</Words>
  <Characters>16694</Characters>
  <Lines>1</Lines>
  <Paragraphs>1</Paragraphs>
  <TotalTime>12</TotalTime>
  <ScaleCrop>false</ScaleCrop>
  <LinksUpToDate>false</LinksUpToDate>
  <CharactersWithSpaces>17560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2020-09-03T08:02:00Z</dcterms:created>
  <dc:creator>User</dc:creator>
  <cp:lastModifiedBy>陈国栋</cp:lastModifiedBy>
  <cp:lastPrinted>2019-12-17T00:40:00Z</cp:lastPrinted>
  <dcterms:modified xsi:type="dcterms:W3CDTF">2024-08-23T03:53:46Z</dcterms:modified>
  <dc:title>云南省省级政府集中采购</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BD7EF94CFD084DB695F3EBB79E6F9EEC_13</vt:lpwstr>
  </property>
</Properties>
</file>