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3C9C0">
      <w:pPr>
        <w:ind w:left="0" w:leftChars="0" w:firstLine="0" w:firstLineChars="0"/>
        <w:rPr>
          <w:rFonts w:hint="eastAsia" w:ascii="黑体" w:hAnsi="黑体" w:eastAsia="黑体"/>
          <w:b w:val="0"/>
          <w:bCs w:val="0"/>
          <w:sz w:val="30"/>
          <w:szCs w:val="30"/>
        </w:rPr>
      </w:pPr>
      <w:bookmarkStart w:id="0" w:name="_GoBack"/>
      <w:bookmarkEnd w:id="0"/>
      <w:r>
        <w:rPr>
          <w:rFonts w:hint="eastAsia" w:ascii="黑体" w:hAnsi="黑体" w:eastAsia="黑体"/>
          <w:b w:val="0"/>
          <w:bCs w:val="0"/>
          <w:sz w:val="30"/>
          <w:szCs w:val="30"/>
        </w:rPr>
        <w:t>附件1</w:t>
      </w:r>
    </w:p>
    <w:p w14:paraId="7FB24CB5">
      <w:pPr>
        <w:ind w:left="0" w:leftChars="0" w:firstLine="0" w:firstLineChars="0"/>
        <w:rPr>
          <w:rFonts w:hint="eastAsia" w:ascii="黑体" w:hAnsi="黑体" w:eastAsia="黑体"/>
          <w:b w:val="0"/>
          <w:bCs w:val="0"/>
          <w:sz w:val="30"/>
          <w:szCs w:val="30"/>
        </w:rPr>
      </w:pPr>
    </w:p>
    <w:p w14:paraId="62ADCB54">
      <w:pPr>
        <w:ind w:left="0" w:leftChars="0" w:firstLine="0" w:firstLineChars="0"/>
        <w:rPr>
          <w:rFonts w:hint="eastAsia" w:ascii="黑体" w:hAnsi="黑体" w:eastAsia="黑体"/>
          <w:b w:val="0"/>
          <w:bCs w:val="0"/>
          <w:sz w:val="30"/>
          <w:szCs w:val="30"/>
        </w:rPr>
      </w:pPr>
    </w:p>
    <w:p w14:paraId="68CE0558">
      <w:pPr>
        <w:widowControl/>
        <w:ind w:firstLine="0" w:firstLineChars="0"/>
        <w:jc w:val="center"/>
        <w:rPr>
          <w:rFonts w:hint="eastAsia" w:ascii="方正小标宋简体" w:hAnsi="宋体" w:eastAsia="方正小标宋简体" w:cs="宋体"/>
          <w:b w:val="0"/>
          <w:bCs w:val="0"/>
          <w:kern w:val="0"/>
          <w:sz w:val="40"/>
          <w:szCs w:val="40"/>
          <w:lang w:val="en-US" w:eastAsia="zh-CN"/>
        </w:rPr>
      </w:pPr>
      <w:r>
        <w:rPr>
          <w:rFonts w:hint="eastAsia" w:ascii="方正小标宋简体" w:hAnsi="宋体" w:eastAsia="方正小标宋简体" w:cs="宋体"/>
          <w:b w:val="0"/>
          <w:bCs w:val="0"/>
          <w:kern w:val="0"/>
          <w:sz w:val="40"/>
          <w:szCs w:val="40"/>
          <w:lang w:val="en-US" w:eastAsia="zh-CN"/>
        </w:rPr>
        <w:t>云南师范大学附属世纪金源学校2025年预算公开目录</w:t>
      </w:r>
    </w:p>
    <w:p w14:paraId="42AFEFB7">
      <w:pPr>
        <w:rPr>
          <w:b w:val="0"/>
          <w:bCs w:val="0"/>
        </w:rPr>
      </w:pPr>
    </w:p>
    <w:p w14:paraId="728C04C9">
      <w:pPr>
        <w:rPr>
          <w:rFonts w:hint="eastAsia"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 xml:space="preserve">第一部分 </w:t>
      </w:r>
      <w:r>
        <w:rPr>
          <w:rFonts w:hint="eastAsia" w:ascii="黑体" w:hAnsi="黑体" w:eastAsia="黑体"/>
          <w:b w:val="0"/>
          <w:bCs w:val="0"/>
          <w:lang w:val="en-US" w:eastAsia="zh-CN"/>
        </w:rPr>
        <w:t>云南师范大学附属世纪金源学校</w:t>
      </w:r>
      <w:r>
        <w:rPr>
          <w:rFonts w:hint="eastAsia" w:ascii="黑体" w:hAnsi="黑体" w:eastAsia="黑体"/>
          <w:b w:val="0"/>
          <w:bCs w:val="0"/>
        </w:rPr>
        <w:t>202</w:t>
      </w:r>
      <w:r>
        <w:rPr>
          <w:rFonts w:hint="eastAsia" w:ascii="黑体" w:hAnsi="黑体" w:eastAsia="黑体"/>
          <w:b w:val="0"/>
          <w:bCs w:val="0"/>
          <w:lang w:val="en-US" w:eastAsia="zh-CN"/>
        </w:rPr>
        <w:t>5</w:t>
      </w:r>
      <w:r>
        <w:rPr>
          <w:rFonts w:hint="eastAsia" w:ascii="黑体" w:hAnsi="黑体" w:eastAsia="黑体"/>
          <w:b w:val="0"/>
          <w:bCs w:val="0"/>
        </w:rPr>
        <w:t>年部门预算编制说明</w:t>
      </w:r>
    </w:p>
    <w:p w14:paraId="00A093E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一、基本职能及主要工作</w:t>
      </w:r>
    </w:p>
    <w:p w14:paraId="2B56A2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二、预算单位基本情况</w:t>
      </w:r>
    </w:p>
    <w:p w14:paraId="3599F2A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三、预算单位收入情况</w:t>
      </w:r>
    </w:p>
    <w:p w14:paraId="6DFE810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四、预算单位支出情况</w:t>
      </w:r>
    </w:p>
    <w:p w14:paraId="57A93D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五、省对下专项转移支付情况</w:t>
      </w:r>
    </w:p>
    <w:p w14:paraId="12B2651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六、政府采购预算情况</w:t>
      </w:r>
    </w:p>
    <w:p w14:paraId="60DCC6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七、部门“三公”经费增减变化情况及原因说明</w:t>
      </w:r>
    </w:p>
    <w:p w14:paraId="10AF37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八、重点项目预算绩效目标情况</w:t>
      </w:r>
    </w:p>
    <w:p w14:paraId="2CF6114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ascii="黑体" w:hAnsi="宋体" w:eastAsia="黑体" w:cs="黑体"/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九、其他公开信息</w:t>
      </w:r>
    </w:p>
    <w:p w14:paraId="770198F2">
      <w:pPr>
        <w:rPr>
          <w:rFonts w:hint="eastAsia"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 xml:space="preserve">第二部分 </w:t>
      </w:r>
      <w:r>
        <w:rPr>
          <w:rFonts w:hint="eastAsia" w:ascii="黑体" w:hAnsi="黑体" w:eastAsia="黑体"/>
          <w:b w:val="0"/>
          <w:bCs w:val="0"/>
          <w:lang w:val="en-US" w:eastAsia="zh-CN"/>
        </w:rPr>
        <w:t>云南师范大学附属世纪金源学校</w:t>
      </w:r>
      <w:r>
        <w:rPr>
          <w:rFonts w:hint="eastAsia" w:ascii="黑体" w:hAnsi="黑体" w:eastAsia="黑体"/>
          <w:b w:val="0"/>
          <w:bCs w:val="0"/>
        </w:rPr>
        <w:t>202</w:t>
      </w:r>
      <w:r>
        <w:rPr>
          <w:rFonts w:hint="eastAsia" w:ascii="黑体" w:hAnsi="黑体" w:eastAsia="黑体"/>
          <w:b w:val="0"/>
          <w:bCs w:val="0"/>
          <w:lang w:val="en-US" w:eastAsia="zh-CN"/>
        </w:rPr>
        <w:t>5</w:t>
      </w:r>
      <w:r>
        <w:rPr>
          <w:rFonts w:hint="eastAsia" w:ascii="黑体" w:hAnsi="黑体" w:eastAsia="黑体"/>
          <w:b w:val="0"/>
          <w:bCs w:val="0"/>
        </w:rPr>
        <w:t>年部门预算表</w:t>
      </w:r>
    </w:p>
    <w:p w14:paraId="1355790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cs="Times New Roman"/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一、</w:t>
      </w:r>
      <w:r>
        <w:rPr>
          <w:rFonts w:hint="eastAsia"/>
          <w:b w:val="0"/>
          <w:bCs w:val="0"/>
          <w:sz w:val="30"/>
          <w:szCs w:val="30"/>
          <w:lang w:val="en-US" w:eastAsia="zh-CN" w:bidi="ar"/>
        </w:rPr>
        <w:t>部门</w:t>
      </w:r>
      <w:r>
        <w:rPr>
          <w:rFonts w:hint="eastAsia"/>
          <w:b w:val="0"/>
          <w:bCs w:val="0"/>
          <w:sz w:val="30"/>
          <w:szCs w:val="30"/>
          <w:lang w:bidi="ar"/>
        </w:rPr>
        <w:t>财务收支预算总表</w:t>
      </w:r>
    </w:p>
    <w:p w14:paraId="511182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二、部门收入预算表</w:t>
      </w:r>
    </w:p>
    <w:p w14:paraId="27B5F0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三、部门支出预算表</w:t>
      </w:r>
    </w:p>
    <w:p w14:paraId="09DE13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四、</w:t>
      </w:r>
      <w:r>
        <w:rPr>
          <w:rFonts w:hint="eastAsia"/>
          <w:b w:val="0"/>
          <w:bCs w:val="0"/>
          <w:sz w:val="30"/>
          <w:szCs w:val="30"/>
          <w:lang w:val="en-US" w:eastAsia="zh-CN" w:bidi="ar"/>
        </w:rPr>
        <w:t>部门</w:t>
      </w:r>
      <w:r>
        <w:rPr>
          <w:rFonts w:hint="eastAsia"/>
          <w:b w:val="0"/>
          <w:bCs w:val="0"/>
          <w:sz w:val="30"/>
          <w:szCs w:val="30"/>
          <w:lang w:bidi="ar"/>
        </w:rPr>
        <w:t>财政拨款收支预算总表</w:t>
      </w:r>
    </w:p>
    <w:p w14:paraId="27A4D7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五、一般公共预算支出预算表（按功能科目分类）</w:t>
      </w:r>
    </w:p>
    <w:p w14:paraId="79EADC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六、一般公共预算“三公”经费支出预算表</w:t>
      </w:r>
    </w:p>
    <w:p w14:paraId="421446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七、部门基本支出预算表</w:t>
      </w:r>
    </w:p>
    <w:p w14:paraId="1EE76C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八、部门项目支出预算表</w:t>
      </w:r>
    </w:p>
    <w:p w14:paraId="2F396F2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九、</w:t>
      </w:r>
      <w:r>
        <w:rPr>
          <w:rFonts w:hint="eastAsia"/>
          <w:b w:val="0"/>
          <w:bCs w:val="0"/>
          <w:sz w:val="30"/>
          <w:szCs w:val="30"/>
          <w:lang w:val="en-US" w:eastAsia="zh-CN" w:bidi="ar"/>
        </w:rPr>
        <w:t>部门</w:t>
      </w:r>
      <w:r>
        <w:rPr>
          <w:rFonts w:hint="eastAsia"/>
          <w:b w:val="0"/>
          <w:bCs w:val="0"/>
          <w:sz w:val="30"/>
          <w:szCs w:val="30"/>
          <w:lang w:bidi="ar"/>
        </w:rPr>
        <w:t>项目支出绩效目标表</w:t>
      </w:r>
    </w:p>
    <w:p w14:paraId="496A9F3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十、</w:t>
      </w:r>
      <w:r>
        <w:rPr>
          <w:rFonts w:hint="eastAsia"/>
          <w:b w:val="0"/>
          <w:bCs w:val="0"/>
          <w:sz w:val="30"/>
          <w:szCs w:val="30"/>
          <w:lang w:val="en-US" w:eastAsia="zh-CN" w:bidi="ar"/>
        </w:rPr>
        <w:t>部门</w:t>
      </w:r>
      <w:r>
        <w:rPr>
          <w:rFonts w:hint="eastAsia"/>
          <w:b w:val="0"/>
          <w:bCs w:val="0"/>
          <w:sz w:val="30"/>
          <w:szCs w:val="30"/>
          <w:lang w:bidi="ar"/>
        </w:rPr>
        <w:t>政府性基金预算支出预算表</w:t>
      </w:r>
    </w:p>
    <w:p w14:paraId="1A6AA5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十一、部门政府采购预算表</w:t>
      </w:r>
    </w:p>
    <w:p w14:paraId="0852386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十二、</w:t>
      </w:r>
      <w:r>
        <w:rPr>
          <w:rFonts w:hint="eastAsia"/>
          <w:b w:val="0"/>
          <w:bCs w:val="0"/>
          <w:sz w:val="30"/>
          <w:szCs w:val="30"/>
          <w:lang w:val="en-US" w:eastAsia="zh-CN" w:bidi="ar"/>
        </w:rPr>
        <w:t>部门</w:t>
      </w:r>
      <w:r>
        <w:rPr>
          <w:rFonts w:hint="eastAsia"/>
          <w:b w:val="0"/>
          <w:bCs w:val="0"/>
          <w:sz w:val="30"/>
          <w:szCs w:val="30"/>
          <w:lang w:bidi="ar"/>
        </w:rPr>
        <w:t>政府购买服务预算表</w:t>
      </w:r>
    </w:p>
    <w:p w14:paraId="554BA5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/>
          <w:b w:val="0"/>
          <w:bCs w:val="0"/>
          <w:sz w:val="30"/>
          <w:szCs w:val="30"/>
          <w:lang w:bidi="ar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十三、省对下转移支付预算表</w:t>
      </w:r>
    </w:p>
    <w:p w14:paraId="522990B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十四、省对下转移支付绩效目标表</w:t>
      </w:r>
    </w:p>
    <w:p w14:paraId="1FA1ED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十五、新增资产配置表</w:t>
      </w:r>
    </w:p>
    <w:p w14:paraId="2219E3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十六、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中央转移支付补助项目支出预算表</w:t>
      </w:r>
    </w:p>
    <w:p w14:paraId="563258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sz w:val="30"/>
          <w:szCs w:val="30"/>
          <w:lang w:bidi="ar"/>
        </w:rPr>
        <w:t>十七、部门项目中期规划预算表</w:t>
      </w:r>
    </w:p>
    <w:p w14:paraId="40E00231">
      <w:pPr>
        <w:rPr>
          <w:rFonts w:hint="eastAsia" w:ascii="黑体" w:hAnsi="黑体" w:eastAsia="黑体"/>
          <w:b w:val="0"/>
          <w:bCs w:val="0"/>
        </w:rPr>
      </w:pPr>
    </w:p>
    <w:p w14:paraId="67946E90">
      <w:pPr>
        <w:rPr>
          <w:rFonts w:hint="eastAsia" w:ascii="黑体" w:hAnsi="黑体" w:eastAsia="黑体"/>
          <w:b w:val="0"/>
          <w:bCs w:val="0"/>
        </w:rPr>
      </w:pPr>
    </w:p>
    <w:p w14:paraId="1637C922">
      <w:pPr>
        <w:rPr>
          <w:rFonts w:hint="eastAsia" w:ascii="黑体" w:hAnsi="黑体" w:eastAsia="黑体"/>
          <w:b w:val="0"/>
          <w:bCs w:val="0"/>
        </w:rPr>
      </w:pPr>
    </w:p>
    <w:p w14:paraId="370461DF">
      <w:pPr>
        <w:rPr>
          <w:rFonts w:hint="eastAsia" w:ascii="黑体" w:hAnsi="黑体" w:eastAsia="黑体"/>
          <w:b w:val="0"/>
          <w:bCs w:val="0"/>
        </w:rPr>
      </w:pPr>
    </w:p>
    <w:p w14:paraId="5A09720E">
      <w:pPr>
        <w:rPr>
          <w:rFonts w:hint="eastAsia" w:ascii="黑体" w:hAnsi="黑体" w:eastAsia="黑体"/>
          <w:b w:val="0"/>
          <w:bCs w:val="0"/>
        </w:rPr>
      </w:pPr>
    </w:p>
    <w:p w14:paraId="251983D3">
      <w:pPr>
        <w:rPr>
          <w:rFonts w:hint="eastAsia" w:ascii="黑体" w:hAnsi="黑体" w:eastAsia="黑体"/>
          <w:b w:val="0"/>
          <w:bCs w:val="0"/>
        </w:rPr>
      </w:pPr>
    </w:p>
    <w:p w14:paraId="3C237FED">
      <w:pPr>
        <w:keepNext w:val="0"/>
        <w:keepLines w:val="0"/>
        <w:pageBreakBefore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textAlignment w:val="auto"/>
        <w:rPr>
          <w:rFonts w:ascii="黑体" w:hAnsi="黑体" w:eastAsia="黑体"/>
          <w:b w:val="0"/>
          <w:bCs w:val="0"/>
          <w:sz w:val="30"/>
          <w:szCs w:val="30"/>
        </w:rPr>
      </w:pPr>
      <w:r>
        <w:rPr>
          <w:rFonts w:hint="eastAsia" w:ascii="黑体" w:hAnsi="黑体" w:eastAsia="黑体"/>
          <w:b w:val="0"/>
          <w:bCs w:val="0"/>
          <w:sz w:val="30"/>
          <w:szCs w:val="30"/>
        </w:rPr>
        <w:t>附件2</w:t>
      </w:r>
    </w:p>
    <w:p w14:paraId="38EF879B">
      <w:pPr>
        <w:rPr>
          <w:b w:val="0"/>
          <w:bCs w:val="0"/>
        </w:rPr>
      </w:pPr>
    </w:p>
    <w:p w14:paraId="29F9EF9E">
      <w:pPr>
        <w:rPr>
          <w:b w:val="0"/>
          <w:bCs w:val="0"/>
        </w:rPr>
      </w:pPr>
    </w:p>
    <w:p w14:paraId="58321D59">
      <w:pPr>
        <w:widowControl/>
        <w:ind w:firstLine="0" w:firstLineChars="0"/>
        <w:jc w:val="center"/>
        <w:rPr>
          <w:rFonts w:hint="eastAsia" w:ascii="方正小标宋简体" w:hAnsi="宋体" w:eastAsia="方正小标宋简体" w:cs="宋体"/>
          <w:b w:val="0"/>
          <w:bCs w:val="0"/>
          <w:kern w:val="0"/>
          <w:sz w:val="40"/>
          <w:szCs w:val="40"/>
          <w:lang w:val="en-US" w:eastAsia="zh-CN"/>
        </w:rPr>
      </w:pPr>
      <w:r>
        <w:rPr>
          <w:rFonts w:hint="eastAsia" w:ascii="方正小标宋简体" w:hAnsi="宋体" w:eastAsia="方正小标宋简体" w:cs="宋体"/>
          <w:b w:val="0"/>
          <w:bCs w:val="0"/>
          <w:kern w:val="0"/>
          <w:sz w:val="40"/>
          <w:szCs w:val="40"/>
          <w:lang w:val="en-US" w:eastAsia="zh-CN"/>
        </w:rPr>
        <w:t>云南师范大学附属世纪金源学校2025年部门预算编制说明</w:t>
      </w:r>
    </w:p>
    <w:p w14:paraId="159CC995">
      <w:pPr>
        <w:rPr>
          <w:b w:val="0"/>
          <w:bCs w:val="0"/>
        </w:rPr>
      </w:pPr>
    </w:p>
    <w:p w14:paraId="3AEE2256">
      <w:pPr>
        <w:rPr>
          <w:rFonts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一、基本职能及主要工作</w:t>
      </w:r>
    </w:p>
    <w:p w14:paraId="5CA8027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textAlignment w:val="auto"/>
        <w:rPr>
          <w:rFonts w:ascii="楷体_GB2312" w:hAnsi="Times New Roman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（一）部门主要职责</w:t>
      </w:r>
    </w:p>
    <w:p w14:paraId="63F0250A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云南师范大学附属世纪金源学校</w:t>
      </w:r>
      <w:r>
        <w:rPr>
          <w:rFonts w:hint="eastAsia"/>
          <w:b w:val="0"/>
          <w:bCs w:val="0"/>
          <w:highlight w:val="none"/>
          <w:lang w:eastAsia="zh-CN"/>
        </w:rPr>
        <w:t>创办于</w:t>
      </w:r>
      <w:r>
        <w:rPr>
          <w:rFonts w:hint="eastAsia"/>
          <w:b w:val="0"/>
          <w:bCs w:val="0"/>
          <w:highlight w:val="none"/>
          <w:lang w:val="en-US" w:eastAsia="zh-CN"/>
        </w:rPr>
        <w:t>2006年9月，</w:t>
      </w:r>
      <w:r>
        <w:rPr>
          <w:rFonts w:hint="eastAsia"/>
          <w:b w:val="0"/>
          <w:bCs w:val="0"/>
          <w:highlight w:val="none"/>
        </w:rPr>
        <w:t>是</w:t>
      </w:r>
      <w:r>
        <w:rPr>
          <w:rFonts w:hint="eastAsia"/>
          <w:b w:val="0"/>
          <w:bCs w:val="0"/>
          <w:highlight w:val="none"/>
          <w:lang w:eastAsia="zh-CN"/>
        </w:rPr>
        <w:t>由云南省教育厅主管，云南师范大学举办的一所国有公办、高校附属，集幼儿园、小学、初中、高中一体化办学的基础教育学校，</w:t>
      </w:r>
      <w:r>
        <w:rPr>
          <w:rFonts w:hint="eastAsia"/>
          <w:b w:val="0"/>
          <w:bCs w:val="0"/>
          <w:highlight w:val="none"/>
        </w:rPr>
        <w:t>学校占地120亩，总建筑面积3.5万平方米。短短1</w:t>
      </w:r>
      <w:r>
        <w:rPr>
          <w:rFonts w:hint="eastAsia"/>
          <w:b w:val="0"/>
          <w:bCs w:val="0"/>
          <w:highlight w:val="none"/>
          <w:lang w:val="en-US" w:eastAsia="zh-CN"/>
        </w:rPr>
        <w:t>8</w:t>
      </w:r>
      <w:r>
        <w:rPr>
          <w:rFonts w:hint="eastAsia"/>
          <w:b w:val="0"/>
          <w:bCs w:val="0"/>
          <w:highlight w:val="none"/>
        </w:rPr>
        <w:t>年时间，学校办学规模迅速扩大，截至202</w:t>
      </w:r>
      <w:r>
        <w:rPr>
          <w:rFonts w:hint="eastAsia"/>
          <w:b w:val="0"/>
          <w:bCs w:val="0"/>
          <w:highlight w:val="none"/>
          <w:lang w:val="en-US" w:eastAsia="zh-CN"/>
        </w:rPr>
        <w:t>4</w:t>
      </w:r>
      <w:r>
        <w:rPr>
          <w:rFonts w:hint="eastAsia"/>
          <w:b w:val="0"/>
          <w:bCs w:val="0"/>
          <w:highlight w:val="none"/>
        </w:rPr>
        <w:t>年12月，在校学生63</w:t>
      </w:r>
      <w:r>
        <w:rPr>
          <w:rFonts w:hint="eastAsia"/>
          <w:b w:val="0"/>
          <w:bCs w:val="0"/>
          <w:highlight w:val="none"/>
          <w:lang w:val="en-US" w:eastAsia="zh-CN"/>
        </w:rPr>
        <w:t>51</w:t>
      </w:r>
      <w:r>
        <w:rPr>
          <w:rFonts w:hint="eastAsia"/>
          <w:b w:val="0"/>
          <w:bCs w:val="0"/>
          <w:highlight w:val="none"/>
        </w:rPr>
        <w:t>人。</w:t>
      </w:r>
    </w:p>
    <w:p w14:paraId="0BAFE3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b w:val="0"/>
          <w:bCs w:val="0"/>
        </w:rPr>
      </w:pPr>
      <w:r>
        <w:rPr>
          <w:rFonts w:hint="eastAsia"/>
          <w:b w:val="0"/>
          <w:bCs w:val="0"/>
          <w:highlight w:val="none"/>
        </w:rPr>
        <w:t>学校主要职责包括：1.认真对照党中央、省委、省委教育工委、师大党委的建设和全面从严治党工作，全面贯彻执行“党的教育方针”政策和法律法规，坚持依法治校，规范管理，全面推进素质教育，提高办学质量</w:t>
      </w:r>
      <w:r>
        <w:rPr>
          <w:rFonts w:hint="eastAsia"/>
          <w:b w:val="0"/>
          <w:bCs w:val="0"/>
          <w:highlight w:val="none"/>
          <w:lang w:eastAsia="zh-CN"/>
        </w:rPr>
        <w:t>；</w:t>
      </w:r>
      <w:r>
        <w:rPr>
          <w:rFonts w:hint="eastAsia"/>
          <w:b w:val="0"/>
          <w:bCs w:val="0"/>
          <w:highlight w:val="none"/>
        </w:rPr>
        <w:t>2.坚持立德树人，德育为先，张扬学生个性，发展学生特长，关注学生的品德、学业、身心、兴趣水平和状况，深入开展体育教育、艺术教育、劳动教育和社会实践活动，培养德智体美劳全面发展的社会主义建设者和接班人；3.加强教师培训，提高教职工整体素质，正确引领教职工人生观、价值观，做好职业道德和法律法规教育，完成人才培养、引进、使用、管理、服务、奖惩工作；4.做好统一战线工作，组织好学校工会、共青团、学生会、社团联合会、少先队等群团组织和教职工代表大会，支持按各自章程独立自主开展活动；5.严格执行财经纪律和财务制度，规范收费行为，建立科学的财务预算、决算机制，对核定的办学经费统筹使用，加强监管，防范财务风险，保障财务安全。保护和管理学校资产，做好校园建设，努力提高办学效益，改善办学条件；6.执行国家教育考试制度。组织好各学段的教学质量检测，并按上级教育行政部门的具体要求组织好各类升学考、毕业考和学业水平考试；7.不断完善后勤管理和服务体系，树立为教学服务、为科研服务、为师生服务的意识，为学校发展提供切实保障；8.构建校园安全机制，定期举行安全知识讲座、消防疏散演习、避震抗灾演习、防爆</w:t>
      </w:r>
      <w:r>
        <w:rPr>
          <w:rFonts w:hint="eastAsia"/>
          <w:b w:val="0"/>
          <w:bCs w:val="0"/>
          <w:highlight w:val="none"/>
          <w:lang w:val="en-US" w:eastAsia="zh-CN"/>
        </w:rPr>
        <w:t>反</w:t>
      </w:r>
      <w:r>
        <w:rPr>
          <w:rFonts w:hint="eastAsia"/>
          <w:b w:val="0"/>
          <w:bCs w:val="0"/>
          <w:highlight w:val="none"/>
        </w:rPr>
        <w:t>恐演练等，打造平安</w:t>
      </w:r>
      <w:r>
        <w:rPr>
          <w:rFonts w:hint="eastAsia"/>
          <w:b w:val="0"/>
          <w:bCs w:val="0"/>
          <w:highlight w:val="none"/>
          <w:lang w:val="en-US" w:eastAsia="zh-CN"/>
        </w:rPr>
        <w:t>校园</w:t>
      </w:r>
      <w:r>
        <w:rPr>
          <w:rFonts w:hint="eastAsia"/>
          <w:b w:val="0"/>
          <w:bCs w:val="0"/>
          <w:highlight w:val="none"/>
        </w:rPr>
        <w:t>，确保师生安全；9.按照“扎根官渡，服务全区，带动全区”的要求，发挥学校在全区教育教学上的优势和辐射作用，促进官渡区教育质量的提高，为昆明市、云南省“十五年”一贯制教育的发展作出积极有效的贡献。</w:t>
      </w:r>
    </w:p>
    <w:p w14:paraId="6ED2E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（二）机构设置情况</w:t>
      </w:r>
    </w:p>
    <w:p w14:paraId="2D313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lang w:eastAsia="zh-CN"/>
        </w:rPr>
      </w:pPr>
      <w:r>
        <w:rPr>
          <w:rFonts w:hint="eastAsia"/>
          <w:b w:val="0"/>
          <w:bCs w:val="0"/>
        </w:rPr>
        <w:t>我部门共设置</w:t>
      </w:r>
      <w:r>
        <w:rPr>
          <w:rFonts w:hint="eastAsia"/>
          <w:b w:val="0"/>
          <w:bCs w:val="0"/>
          <w:lang w:val="en-US" w:eastAsia="zh-CN"/>
        </w:rPr>
        <w:t>13</w:t>
      </w:r>
      <w:r>
        <w:rPr>
          <w:rFonts w:hint="eastAsia"/>
          <w:b w:val="0"/>
          <w:bCs w:val="0"/>
        </w:rPr>
        <w:t>个内设机构，包括：</w:t>
      </w:r>
      <w:r>
        <w:rPr>
          <w:rFonts w:hint="eastAsia"/>
          <w:b w:val="0"/>
          <w:bCs w:val="0"/>
          <w:lang w:eastAsia="zh-CN"/>
        </w:rPr>
        <w:t>幼儿园段、小学段、中学段、党委办公室、工会、团委、少先队、行政办公室、教务教科中心、学生发展中心、安全保卫中心、后勤保障中心、信息宣传中心。</w:t>
      </w:r>
    </w:p>
    <w:p w14:paraId="6CBD26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b w:val="0"/>
          <w:bCs w:val="0"/>
          <w:sz w:val="30"/>
          <w:szCs w:val="30"/>
        </w:rPr>
      </w:pPr>
      <w:r>
        <w:rPr>
          <w:rFonts w:hint="eastAsia"/>
          <w:b w:val="0"/>
          <w:bCs w:val="0"/>
          <w:lang w:eastAsia="zh-CN"/>
        </w:rPr>
        <w:t>无</w:t>
      </w:r>
      <w:r>
        <w:rPr>
          <w:rFonts w:hint="eastAsia"/>
          <w:b w:val="0"/>
          <w:bCs w:val="0"/>
        </w:rPr>
        <w:t>所属单</w:t>
      </w:r>
      <w:r>
        <w:rPr>
          <w:rFonts w:hint="eastAsia"/>
          <w:b w:val="0"/>
          <w:bCs w:val="0"/>
          <w:lang w:eastAsia="zh-CN"/>
        </w:rPr>
        <w:t>位。</w:t>
      </w:r>
    </w:p>
    <w:p w14:paraId="2F706B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（三）重点工作概述</w:t>
      </w:r>
    </w:p>
    <w:p w14:paraId="66059ECD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1.</w:t>
      </w:r>
      <w:r>
        <w:rPr>
          <w:rFonts w:hint="eastAsia"/>
          <w:b w:val="0"/>
          <w:bCs w:val="0"/>
          <w:highlight w:val="none"/>
          <w:lang w:val="en-US" w:eastAsia="zh-CN"/>
        </w:rPr>
        <w:t>深化</w:t>
      </w:r>
      <w:r>
        <w:rPr>
          <w:rFonts w:hint="eastAsia"/>
          <w:b w:val="0"/>
          <w:bCs w:val="0"/>
          <w:highlight w:val="none"/>
        </w:rPr>
        <w:t>全面从严治党</w:t>
      </w:r>
    </w:p>
    <w:p w14:paraId="6146E027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一是坚持把党的政治建设摆在首位。定期召开党支部书记工作例会，压实党建工作各项责任清单，严肃“三会一课”、主题党日、党费日等党内组织生活。</w:t>
      </w:r>
    </w:p>
    <w:p w14:paraId="53443D36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 xml:space="preserve">二是坚持用习近平新时代中国特色社会主义思想铸魂育人。深入开展学习贯彻习近平新时代中国特色社会主义思想主题教育，强化党的创新理论武装，推动理论学习长效化。    </w:t>
      </w:r>
    </w:p>
    <w:p w14:paraId="2CAB09FE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三是努力建设高素质专业化干部队伍。落实领导干部双重组织生活制度，加强中层干部队伍建设，做好校本培训、新教师岗前培训和班主任基本功大赛等活动。</w:t>
      </w:r>
    </w:p>
    <w:p w14:paraId="45BE0476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四是着力提升基层组织的组织力和凝聚力。以党支部“扩优提中治软”行动为抓手发挥党建的引领带动作用，持续开展习近平生态文明思想和铸牢中华民族共同体意识教育。</w:t>
      </w:r>
    </w:p>
    <w:p w14:paraId="7385DD75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五是推进党风廉政建设和反腐败工作。加强新时代廉洁文化建设，筑牢拒腐防变的思想防线。建立预防预警、抓早抓小机制，始终保持反腐惩恶的高压态势。</w:t>
      </w:r>
    </w:p>
    <w:p w14:paraId="321707A7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六是锲而不舍纠“四风”，树新风。推进以“小”见严纠“四风”“固堤行动”，规范财务报销、办公用房以及国有资产出租出借等管理，坚决拒绝公车私用、公款吃喝、公款旅游等违反中央八项规定精神的行为。</w:t>
      </w:r>
    </w:p>
    <w:p w14:paraId="414D4BDD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2.落实立德树人根本任务</w:t>
      </w:r>
    </w:p>
    <w:p w14:paraId="579FC8C0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一是优化学校管理，不断提升治理能力。</w:t>
      </w:r>
    </w:p>
    <w:p w14:paraId="4C094715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二是落实</w:t>
      </w:r>
      <w:r>
        <w:rPr>
          <w:rFonts w:hint="eastAsia"/>
          <w:b w:val="0"/>
          <w:bCs w:val="0"/>
          <w:highlight w:val="none"/>
          <w:lang w:eastAsia="zh-CN"/>
        </w:rPr>
        <w:t>“</w:t>
      </w:r>
      <w:r>
        <w:rPr>
          <w:rFonts w:hint="eastAsia"/>
          <w:b w:val="0"/>
          <w:bCs w:val="0"/>
          <w:highlight w:val="none"/>
        </w:rPr>
        <w:t>十四五</w:t>
      </w:r>
      <w:r>
        <w:rPr>
          <w:rFonts w:hint="eastAsia"/>
          <w:b w:val="0"/>
          <w:bCs w:val="0"/>
          <w:highlight w:val="none"/>
          <w:lang w:eastAsia="zh-CN"/>
        </w:rPr>
        <w:t>”</w:t>
      </w:r>
      <w:r>
        <w:rPr>
          <w:rFonts w:hint="eastAsia"/>
          <w:b w:val="0"/>
          <w:bCs w:val="0"/>
          <w:highlight w:val="none"/>
        </w:rPr>
        <w:t>规划，为学校高质量发展夯实基础。</w:t>
      </w:r>
    </w:p>
    <w:p w14:paraId="0E21D423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三是推进教育改革，促进教学质量稳步提升。</w:t>
      </w:r>
    </w:p>
    <w:p w14:paraId="355782CE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highlight w:val="none"/>
        </w:rPr>
      </w:pPr>
      <w:r>
        <w:rPr>
          <w:rFonts w:hint="eastAsia"/>
          <w:b w:val="0"/>
          <w:bCs w:val="0"/>
          <w:highlight w:val="none"/>
        </w:rPr>
        <w:t>四是落实安全保校，巩固平安校园创建成果。</w:t>
      </w:r>
    </w:p>
    <w:p w14:paraId="71367D43">
      <w:pPr>
        <w:keepNext w:val="0"/>
        <w:keepLines w:val="0"/>
        <w:pageBreakBefore w:val="0"/>
        <w:widowControl w:val="0"/>
        <w:tabs>
          <w:tab w:val="left" w:pos="406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eastAsia="仿宋_GB2312"/>
          <w:b w:val="0"/>
          <w:bCs w:val="0"/>
          <w:lang w:eastAsia="zh-CN"/>
        </w:rPr>
      </w:pPr>
      <w:r>
        <w:rPr>
          <w:rFonts w:hint="eastAsia"/>
          <w:b w:val="0"/>
          <w:bCs w:val="0"/>
          <w:highlight w:val="none"/>
        </w:rPr>
        <w:t>五是聚焦师生需求，提升后勤保障质量与水平。</w:t>
      </w:r>
    </w:p>
    <w:p w14:paraId="04A52E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二、预算单位基本情况</w:t>
      </w:r>
    </w:p>
    <w:p w14:paraId="4FE2DB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我部门编制202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年部门预算单位共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个。其中：财政全额供给单位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个；差额供给单位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个；定额补助单位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个；自收自支单位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个。财政全额供给单位中行政单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个；参公单位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个；事业单位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个。截止202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年12月统计，部门基本情况如下：</w:t>
      </w:r>
    </w:p>
    <w:p w14:paraId="4D0C3A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在职人员编制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352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人，其中：行政编制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人,工勤人员编制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人，事业编制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352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人。在职实有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27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人，其中：财政全额保障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327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人，财政差额补助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人，财政专户资金、单位资金保障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人。</w:t>
      </w:r>
    </w:p>
    <w:p w14:paraId="691FF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离退休人员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人，其中：离休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人，退休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人。</w:t>
      </w:r>
    </w:p>
    <w:p w14:paraId="49A033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ind w:left="0" w:leftChars="0"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车辆编制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辆，实有车辆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辆。</w:t>
      </w:r>
    </w:p>
    <w:p w14:paraId="351CF0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三、预算单位收入情况</w:t>
      </w:r>
    </w:p>
    <w:p w14:paraId="3252F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（一）部门财务收入情况</w:t>
      </w:r>
    </w:p>
    <w:p w14:paraId="3462E0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年部门财务总收入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97,677,129.61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元，其中：一般公共预算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90,657,649.61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元，政府性基金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元，国有资本经营收益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元，财政专户管理的收入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2,005,680.00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元，事业收入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元，事业单位经营收入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元，上级补助收入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元，附属单位上缴收入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元，其他收入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5,013,800.00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</w:t>
      </w:r>
    </w:p>
    <w:p w14:paraId="756B73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与上年对比部门财务总收入增加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8,014,413.91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元，其中：一般公共预算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7,608,733.91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元，财政专户管理资金收入增加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405,680.00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元，其他收入增加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元。主要原因分析：（1）一般公共预算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增加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是由于我单位202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底结转资金增加，包括基础教育综合奖补项目法分配资金、2024年城乡义务补助中央资金、省级银龄教师补助资金、省级银龄教师补助经费、世纪金源学校补助办学专项资金、云南省义务教育学校数字校园建设资金、2024年学生资助补助（中央）资金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；（2）财政专户管理收入增加是因为我单位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预计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2025年高中学生人数增加，故收取的高中学费、住宿费相应增加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；（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）其他收入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预算与上年相较无变动。</w:t>
      </w:r>
    </w:p>
    <w:p w14:paraId="7E2642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（二）财政拨款收入情况</w:t>
      </w:r>
    </w:p>
    <w:p w14:paraId="1CCFF0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年部门财政拨款收入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90,657,649.61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元，其中:本年收入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79,726,306.78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元，上年结转收入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10,931,342.83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元。本年收入中，一般公共预算财政拨款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79,726,306.78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元，政府性基金预算财政拨款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元，国有资本经营收益财政拨款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</w:t>
      </w:r>
    </w:p>
    <w:p w14:paraId="705687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与上年对比部门财政拨款收入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7,608,733.91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元，其中：一般公共预算财政拨款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7,608,733.91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元。主要原因分析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我单位202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底结转资金增加，包括基础教育综合奖补项目法分配资金、2024年城乡义务补助中央资金、省级银龄教师补助资金、省级银龄教师补助经费、世纪金源学校补助办学专项资金、云南省义务教育学校数字校园建设资金、2024年学生资助补助（中央）资金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428E74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四、预算单位支出情况</w:t>
      </w:r>
    </w:p>
    <w:p w14:paraId="2D1EEE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年部门预算总支出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97,677,129.61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元。财政拨款安排支出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90,657,649.61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元，其中：基本支出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72,389,106.78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元，与上年对比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减少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1,584,611.96元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，主要原因分析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：我单位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2024年度退休17人，辞职2人，对应的社保及工资等基本支出人员经费预算降低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；项目支出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18,268,542.83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元，与上年对比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9,193,345.87元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，主要原因分析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我单位202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底项目结转资金增加，包括基础教育综合奖补项目法分配资金、2024年城乡义务补助中央资金、省级银龄教师补助资金、省级银龄教师补助经费、世纪金源学校补助办学专项资金、云南省义务教育学校数字校园建设资金、2024年学生资助补助（中央）资金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0B29E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财政拨款安排支出按功能科目分类情况</w:t>
      </w:r>
    </w:p>
    <w:p w14:paraId="359AEC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社会保障和就业支出-行政事业单位养老支出-事业单位离退休</w:t>
      </w:r>
      <w:r>
        <w:rPr>
          <w:rFonts w:ascii="仿宋_GB2312" w:hAnsi="仿宋_GB2312" w:eastAsia="仿宋_GB2312" w:cs="仿宋_GB2312"/>
          <w:sz w:val="30"/>
          <w:u w:color="auto"/>
        </w:rPr>
        <w:t>15,660.00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开支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离退休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公用经费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5F78C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社会保障和就业支出-行政事业单位养老支出-机关事业单位基本养老保险缴费支出</w:t>
      </w:r>
      <w:r>
        <w:rPr>
          <w:rFonts w:ascii="仿宋_GB2312" w:hAnsi="仿宋_GB2312" w:eastAsia="仿宋_GB2312" w:cs="仿宋_GB2312"/>
          <w:sz w:val="30"/>
          <w:u w:color="auto"/>
        </w:rPr>
        <w:t>6,425,871.20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元，主要用于缴纳单位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承担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部分基本养老保险。</w:t>
      </w:r>
    </w:p>
    <w:p w14:paraId="683E0C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社会保障和就业支出-其他社会保障和就业支出-其他社会保障和就业支出</w:t>
      </w:r>
      <w:r>
        <w:rPr>
          <w:rFonts w:ascii="仿宋_GB2312" w:hAnsi="仿宋_GB2312" w:eastAsia="仿宋_GB2312" w:cs="仿宋_GB2312"/>
          <w:sz w:val="30"/>
          <w:u w:color="auto"/>
        </w:rPr>
        <w:t>314,937.47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缴纳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其他社会保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险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77FC8C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卫生健康支出-行政事业单位医疗-事业单位医疗</w:t>
      </w:r>
      <w:r>
        <w:rPr>
          <w:rFonts w:ascii="仿宋_GB2312" w:hAnsi="仿宋_GB2312" w:eastAsia="仿宋_GB2312" w:cs="仿宋_GB2312"/>
          <w:sz w:val="30"/>
          <w:u w:color="auto"/>
        </w:rPr>
        <w:t>4,337,463.06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元，主要用于缴纳单位承担部分医疗保险。</w:t>
      </w:r>
    </w:p>
    <w:p w14:paraId="231C5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卫生健康支出-行政事业单位医疗-公务员医疗补助2,046,262.61元，主要用于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缴纳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公务员医疗补助。</w:t>
      </w:r>
    </w:p>
    <w:p w14:paraId="52C9A9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卫生健康支出-行政事业单位医疗-其他行政事业单位医疗支出</w:t>
      </w:r>
      <w:r>
        <w:rPr>
          <w:rFonts w:ascii="仿宋_GB2312" w:hAnsi="仿宋_GB2312" w:eastAsia="仿宋_GB2312" w:cs="仿宋_GB2312"/>
          <w:sz w:val="30"/>
          <w:u w:color="auto"/>
        </w:rPr>
        <w:t>143,130.00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缴纳其他医疗保险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4AA09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住房保障支出-住房改革支出-住房公积金</w:t>
      </w:r>
      <w:r>
        <w:rPr>
          <w:rFonts w:ascii="仿宋_GB2312" w:hAnsi="仿宋_GB2312" w:eastAsia="仿宋_GB2312" w:cs="仿宋_GB2312"/>
          <w:sz w:val="30"/>
          <w:u w:color="auto"/>
        </w:rPr>
        <w:t>4,440,995.96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</w:t>
      </w:r>
      <w:r>
        <w:rPr>
          <w:rFonts w:hint="eastAsia" w:hAnsi="仿宋_GB2312" w:cs="仿宋_GB2312"/>
          <w:bCs/>
        </w:rPr>
        <w:t>缴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纳职工住房公积金。</w:t>
      </w:r>
    </w:p>
    <w:p w14:paraId="066D4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教育支出-普通教育-学前教育</w:t>
      </w:r>
      <w:r>
        <w:rPr>
          <w:rFonts w:ascii="仿宋_GB2312" w:hAnsi="仿宋_GB2312" w:eastAsia="仿宋_GB2312" w:cs="仿宋_GB2312"/>
          <w:sz w:val="30"/>
          <w:u w:color="auto"/>
        </w:rPr>
        <w:t>1,337,200.00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元，主要用于幼儿园日常运转、维修维护。</w:t>
      </w:r>
    </w:p>
    <w:p w14:paraId="27C4B5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教育支出-普通教育-小学教育</w:t>
      </w:r>
      <w:r>
        <w:rPr>
          <w:rFonts w:ascii="仿宋_GB2312" w:hAnsi="仿宋_GB2312" w:eastAsia="仿宋_GB2312" w:cs="仿宋_GB2312"/>
          <w:sz w:val="30"/>
          <w:u w:color="auto"/>
        </w:rPr>
        <w:t>71,593,979.31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开支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保障学校正常运转的工资福利支出和公用经费。</w:t>
      </w:r>
    </w:p>
    <w:p w14:paraId="398EE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教育支出-普通教育-高中教育</w:t>
      </w:r>
      <w:r>
        <w:rPr>
          <w:rFonts w:ascii="仿宋_GB2312" w:hAnsi="仿宋_GB2312" w:eastAsia="仿宋_GB2312" w:cs="仿宋_GB2312"/>
          <w:sz w:val="30"/>
          <w:u w:color="auto"/>
        </w:rPr>
        <w:t>2,150.00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元，主要用于高中运动场地的维修维护。</w:t>
      </w:r>
    </w:p>
    <w:p w14:paraId="66AAECB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省对下专项转移支付情况</w:t>
      </w:r>
    </w:p>
    <w:p w14:paraId="1E875C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我校列入省对下专项转移支付项目金额0.00元，无省对下专项转移支付情况。</w:t>
      </w:r>
    </w:p>
    <w:p w14:paraId="239FF85D">
      <w:pPr>
        <w:keepNext w:val="0"/>
        <w:keepLines w:val="0"/>
        <w:pageBreakBefore w:val="0"/>
        <w:widowControl w:val="0"/>
        <w:tabs>
          <w:tab w:val="left" w:pos="5025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（一）与中央配套事项</w:t>
      </w:r>
    </w:p>
    <w:p w14:paraId="42F9A8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00" w:firstLineChars="200"/>
        <w:jc w:val="both"/>
        <w:textAlignment w:val="auto"/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学校无相关情况。</w:t>
      </w:r>
    </w:p>
    <w:p w14:paraId="7261C8F1">
      <w:pPr>
        <w:keepNext w:val="0"/>
        <w:keepLines w:val="0"/>
        <w:pageBreakBefore w:val="0"/>
        <w:widowControl w:val="0"/>
        <w:tabs>
          <w:tab w:val="left" w:pos="5025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（二）按既定政策标准测算补助事项</w:t>
      </w:r>
    </w:p>
    <w:p w14:paraId="014F38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学校无相关情况。</w:t>
      </w:r>
    </w:p>
    <w:p w14:paraId="312B3573">
      <w:pPr>
        <w:keepNext w:val="0"/>
        <w:keepLines w:val="0"/>
        <w:pageBreakBefore w:val="0"/>
        <w:widowControl w:val="0"/>
        <w:tabs>
          <w:tab w:val="left" w:pos="5025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（三）经济社会事业发展事项</w:t>
      </w:r>
    </w:p>
    <w:p w14:paraId="243CCE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学校无相关情况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。</w:t>
      </w:r>
    </w:p>
    <w:p w14:paraId="676BAF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ascii="黑体" w:hAnsi="黑体" w:eastAsia="黑体"/>
          <w:b w:val="0"/>
          <w:bCs w:val="0"/>
        </w:rPr>
        <w:t>六、政府采购预算情况</w:t>
      </w:r>
    </w:p>
    <w:p w14:paraId="2941D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b w:val="0"/>
          <w:bCs w:val="0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根据《中华人民共和国政府采购法》的有关规定，编制了政府采购预算，共涉及采购项目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个，采购预算总额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1,235,629.00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元，其中：政府采购货物预算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1,200,000.00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元、政府采购服务预算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35,629.00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元、政府采购工程预算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</w:t>
      </w:r>
      <w:r>
        <w:rPr>
          <w:rFonts w:hint="eastAsia"/>
          <w:b w:val="0"/>
          <w:bCs w:val="0"/>
          <w:sz w:val="30"/>
          <w:szCs w:val="30"/>
        </w:rPr>
        <w:t xml:space="preserve"> </w:t>
      </w:r>
    </w:p>
    <w:p w14:paraId="5E0E18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七、部门“三公”经费增减变化情况及原因说明</w:t>
      </w:r>
    </w:p>
    <w:p w14:paraId="5DD37E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年一般公共预算财政拨款“三公”经费预算合计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42,629.00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减少1.00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下降0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%，具体变动情况如下：</w:t>
      </w:r>
    </w:p>
    <w:p w14:paraId="0C483ABA">
      <w:pPr>
        <w:keepNext w:val="0"/>
        <w:keepLines w:val="0"/>
        <w:pageBreakBefore w:val="0"/>
        <w:widowControl w:val="0"/>
        <w:tabs>
          <w:tab w:val="left" w:pos="5025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（一）因公出国（境）费</w:t>
      </w:r>
    </w:p>
    <w:p w14:paraId="4A01AE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年因公出国（境）费预算为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增加0.00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增长0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%，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共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计安排因公出国（境）团组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个，因公出国（境）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人次。</w:t>
      </w:r>
    </w:p>
    <w:p w14:paraId="5032EE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增减变化原因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：同上年度相比无变化。</w:t>
      </w:r>
    </w:p>
    <w:p w14:paraId="4CFF90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（二）公务接待费</w:t>
      </w:r>
    </w:p>
    <w:p w14:paraId="036005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年公务接待费预算为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增加0.00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增长0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%，国内公务接待批次为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次，共计接待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人次。</w:t>
      </w:r>
    </w:p>
    <w:p w14:paraId="5FF497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增减变化原因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：同上年度相比无变化。</w:t>
      </w:r>
    </w:p>
    <w:p w14:paraId="45554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（三）公务用车购置及运行维护费</w:t>
      </w:r>
    </w:p>
    <w:p w14:paraId="73C6E1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年公务用车购置及运行维护费为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42,629.00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减少1.00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下降0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%。其中：公务用车购置费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增加0.00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增长0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%；公务用车运行维护费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42,629.00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元，较上年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减少1.00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下降0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%。共计购置公务用车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辆，年末公务用车保有量为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辆。</w:t>
      </w:r>
    </w:p>
    <w:p w14:paraId="38CE43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eastAsia="仿宋_GB2312"/>
          <w:b w:val="0"/>
          <w:bCs w:val="0"/>
          <w:lang w:eastAsia="zh-CN"/>
        </w:rPr>
      </w:pPr>
      <w:r>
        <w:rPr>
          <w:rFonts w:hint="eastAsia"/>
          <w:b w:val="0"/>
          <w:bCs w:val="0"/>
        </w:rPr>
        <w:t>增减变化原因</w:t>
      </w:r>
      <w:r>
        <w:rPr>
          <w:rFonts w:hint="eastAsia"/>
          <w:b w:val="0"/>
          <w:bCs w:val="0"/>
          <w:lang w:eastAsia="zh-CN"/>
        </w:rPr>
        <w:t>：公务用车运行维护费与上年基本持平。</w:t>
      </w:r>
    </w:p>
    <w:p w14:paraId="7A4FDA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/>
          <w:b w:val="0"/>
          <w:bCs w:val="0"/>
          <w:sz w:val="30"/>
          <w:szCs w:val="30"/>
          <w:highlight w:val="yellow"/>
        </w:rPr>
      </w:pPr>
      <w:r>
        <w:rPr>
          <w:rFonts w:hint="eastAsia" w:ascii="黑体" w:hAnsi="黑体" w:eastAsia="黑体"/>
          <w:b w:val="0"/>
          <w:bCs w:val="0"/>
        </w:rPr>
        <w:t>八、重点项目预算绩效目标情况</w:t>
      </w:r>
    </w:p>
    <w:p w14:paraId="56288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/>
          <w:b w:val="0"/>
          <w:bCs w:val="0"/>
          <w:sz w:val="30"/>
          <w:szCs w:val="30"/>
          <w:highlight w:val="none"/>
        </w:rPr>
      </w:pPr>
      <w:r>
        <w:rPr>
          <w:rFonts w:hint="eastAsia"/>
          <w:b w:val="0"/>
          <w:bCs w:val="0"/>
          <w:sz w:val="30"/>
          <w:szCs w:val="30"/>
          <w:highlight w:val="none"/>
        </w:rPr>
        <w:t>云南师范大学附属世纪金源学校制定了本部门的预算绩效管理办法，围绕政府教育事业发展规划，我单位制定了202</w:t>
      </w:r>
      <w:r>
        <w:rPr>
          <w:rFonts w:hint="eastAsia"/>
          <w:b w:val="0"/>
          <w:bCs w:val="0"/>
          <w:sz w:val="30"/>
          <w:szCs w:val="30"/>
          <w:highlight w:val="none"/>
          <w:lang w:val="en-US" w:eastAsia="zh-CN"/>
        </w:rPr>
        <w:t>5</w:t>
      </w:r>
      <w:r>
        <w:rPr>
          <w:rFonts w:hint="eastAsia"/>
          <w:b w:val="0"/>
          <w:bCs w:val="0"/>
          <w:sz w:val="30"/>
          <w:szCs w:val="30"/>
          <w:highlight w:val="none"/>
        </w:rPr>
        <w:t>年的整体支出绩效目标：一是保障教育教学秩序稳定；二是保证校园安全服务到位；三是保证教职工工资待遇和福利按时发放；四是加强党风廉政建设；五是完成初中学业水平考试和高考，提高升学率；六是顺利完成</w:t>
      </w:r>
      <w:r>
        <w:rPr>
          <w:rFonts w:hint="eastAsia"/>
          <w:b w:val="0"/>
          <w:bCs w:val="0"/>
          <w:sz w:val="30"/>
          <w:szCs w:val="30"/>
          <w:highlight w:val="none"/>
          <w:lang w:eastAsia="zh-CN"/>
        </w:rPr>
        <w:t>三</w:t>
      </w:r>
      <w:r>
        <w:rPr>
          <w:rFonts w:hint="eastAsia"/>
          <w:b w:val="0"/>
          <w:bCs w:val="0"/>
          <w:sz w:val="30"/>
          <w:szCs w:val="30"/>
          <w:highlight w:val="none"/>
        </w:rPr>
        <w:t>个学段招生工作；七是保障后勤、人力、财务及各中心正常运转；八是完成其他工作。</w:t>
      </w:r>
    </w:p>
    <w:p w14:paraId="22262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/>
          <w:b w:val="0"/>
          <w:bCs w:val="0"/>
          <w:sz w:val="30"/>
          <w:szCs w:val="30"/>
          <w:highlight w:val="none"/>
        </w:rPr>
      </w:pPr>
      <w:r>
        <w:rPr>
          <w:rFonts w:hint="eastAsia"/>
          <w:b w:val="0"/>
          <w:bCs w:val="0"/>
          <w:sz w:val="30"/>
          <w:szCs w:val="30"/>
          <w:highlight w:val="none"/>
        </w:rPr>
        <w:t>师大世纪金源学校教育收费成本专项资金：202</w:t>
      </w:r>
      <w:r>
        <w:rPr>
          <w:rFonts w:hint="eastAsia"/>
          <w:b w:val="0"/>
          <w:bCs w:val="0"/>
          <w:sz w:val="30"/>
          <w:szCs w:val="30"/>
          <w:highlight w:val="none"/>
          <w:lang w:val="en-US" w:eastAsia="zh-CN"/>
        </w:rPr>
        <w:t>5</w:t>
      </w:r>
      <w:r>
        <w:rPr>
          <w:rFonts w:hint="eastAsia"/>
          <w:b w:val="0"/>
          <w:bCs w:val="0"/>
          <w:sz w:val="30"/>
          <w:szCs w:val="30"/>
          <w:highlight w:val="none"/>
        </w:rPr>
        <w:t>年持续巩固云南省一级一等示范幼儿园创建成果，进一步提升我校学前教育保育教育质量，扩大优质学前教育资源，以收费成本资金，作为教学运转保障资金，用于加大幼儿园课程建设、设施设备投入，提升幼儿园办学条件；加强幼儿园教师培训投入，提高师资水平。</w:t>
      </w:r>
    </w:p>
    <w:p w14:paraId="08F065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/>
          <w:b w:val="0"/>
          <w:bCs w:val="0"/>
          <w:sz w:val="30"/>
          <w:szCs w:val="30"/>
          <w:highlight w:val="none"/>
        </w:rPr>
      </w:pPr>
      <w:r>
        <w:rPr>
          <w:rFonts w:hint="eastAsia"/>
          <w:b w:val="0"/>
          <w:bCs w:val="0"/>
          <w:sz w:val="30"/>
          <w:szCs w:val="30"/>
          <w:highlight w:val="none"/>
        </w:rPr>
        <w:t>其他人员支出项目：保障学校编外人员的支出，保证学校的正常运转。</w:t>
      </w:r>
    </w:p>
    <w:p w14:paraId="646D8B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Ansi="楷体" w:cs="楷体"/>
          <w:b w:val="0"/>
          <w:bCs w:val="0"/>
          <w:highlight w:val="none"/>
        </w:rPr>
      </w:pPr>
      <w:r>
        <w:rPr>
          <w:rFonts w:hint="eastAsia"/>
          <w:b w:val="0"/>
          <w:bCs w:val="0"/>
          <w:sz w:val="30"/>
          <w:szCs w:val="30"/>
          <w:highlight w:val="none"/>
        </w:rPr>
        <w:t>世纪金源学校补助办学专项资金：202</w:t>
      </w:r>
      <w:r>
        <w:rPr>
          <w:rFonts w:hint="eastAsia"/>
          <w:b w:val="0"/>
          <w:bCs w:val="0"/>
          <w:sz w:val="30"/>
          <w:szCs w:val="30"/>
          <w:highlight w:val="none"/>
          <w:lang w:val="en-US" w:eastAsia="zh-CN"/>
        </w:rPr>
        <w:t>5</w:t>
      </w:r>
      <w:r>
        <w:rPr>
          <w:rFonts w:hint="eastAsia"/>
          <w:b w:val="0"/>
          <w:bCs w:val="0"/>
          <w:sz w:val="30"/>
          <w:szCs w:val="30"/>
          <w:highlight w:val="none"/>
        </w:rPr>
        <w:t>年巩固云南省一级三等中学成果。初中毕业学生顺利毕业并以优异的成绩升入理想的高中学校；高考上线率、一本上线率达到高中段责任目标的要求，总分600分以上人数再创新高。加大学校师资队伍建设、教育科研、校园文化等方面的建设，促进学校向深度发展转型，走内涵发展的道路，促进学校高质量发展；全体教职工要提高思想站位，从源头清理、理清关系，梳理各块工作存在问题的根源，进一步整合“十五年一贯制”学校的资源和结构优势，不断拓宽工作思路，坚持创新力求实效，团结一心谋求全新发展，齐心协力打响学校品牌</w:t>
      </w:r>
      <w:r>
        <w:rPr>
          <w:rFonts w:hint="eastAsia"/>
          <w:b w:val="0"/>
          <w:bCs w:val="0"/>
          <w:sz w:val="30"/>
          <w:szCs w:val="30"/>
          <w:highlight w:val="none"/>
          <w:lang w:eastAsia="zh-CN"/>
        </w:rPr>
        <w:t>。</w:t>
      </w:r>
    </w:p>
    <w:p w14:paraId="597F3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黑体" w:hAnsi="黑体" w:eastAsia="黑体"/>
          <w:b w:val="0"/>
          <w:bCs w:val="0"/>
        </w:rPr>
      </w:pPr>
      <w:r>
        <w:rPr>
          <w:rFonts w:hint="eastAsia" w:ascii="黑体" w:hAnsi="黑体" w:eastAsia="黑体"/>
          <w:b w:val="0"/>
          <w:bCs w:val="0"/>
        </w:rPr>
        <w:t>九、其他公开信息</w:t>
      </w:r>
    </w:p>
    <w:p w14:paraId="00CB9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（一）专业名词解释</w:t>
      </w:r>
    </w:p>
    <w:p w14:paraId="57223E6E">
      <w:pPr>
        <w:keepNext w:val="0"/>
        <w:keepLines w:val="0"/>
        <w:pageBreakBefore w:val="0"/>
        <w:widowControl w:val="0"/>
        <w:tabs>
          <w:tab w:val="left" w:pos="381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hAnsi="楷体" w:eastAsia="仿宋_GB2312" w:cs="楷体"/>
          <w:b w:val="0"/>
          <w:bCs w:val="0"/>
          <w:lang w:eastAsia="zh-CN"/>
        </w:rPr>
      </w:pPr>
      <w:r>
        <w:rPr>
          <w:rFonts w:hint="eastAsia" w:hAnsi="楷体" w:eastAsia="仿宋_GB2312" w:cs="楷体"/>
          <w:b w:val="0"/>
          <w:bCs w:val="0"/>
          <w:lang w:eastAsia="zh-CN"/>
        </w:rPr>
        <w:t>1.经济科目：指政府支出按经济性质和具体用途所作的一种分类科目，具体设类、款两级。</w:t>
      </w:r>
    </w:p>
    <w:p w14:paraId="475D1983">
      <w:pPr>
        <w:keepNext w:val="0"/>
        <w:keepLines w:val="0"/>
        <w:pageBreakBefore w:val="0"/>
        <w:widowControl w:val="0"/>
        <w:tabs>
          <w:tab w:val="left" w:pos="381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hAnsi="楷体" w:eastAsia="仿宋_GB2312" w:cs="楷体"/>
          <w:b w:val="0"/>
          <w:bCs w:val="0"/>
          <w:lang w:eastAsia="zh-CN"/>
        </w:rPr>
      </w:pPr>
      <w:r>
        <w:rPr>
          <w:rFonts w:hint="eastAsia" w:hAnsi="楷体" w:eastAsia="仿宋_GB2312" w:cs="楷体"/>
          <w:b w:val="0"/>
          <w:bCs w:val="0"/>
          <w:lang w:eastAsia="zh-CN"/>
        </w:rPr>
        <w:t>2.功能科目：指政府支出按其主要职能活动所作的一种分类科目，主要反映政府活动的不同功能和政策目标，具体设类、款、项三级。</w:t>
      </w:r>
    </w:p>
    <w:p w14:paraId="76200B3D">
      <w:pPr>
        <w:keepNext w:val="0"/>
        <w:keepLines w:val="0"/>
        <w:pageBreakBefore w:val="0"/>
        <w:widowControl w:val="0"/>
        <w:tabs>
          <w:tab w:val="left" w:pos="381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hAnsi="楷体" w:eastAsia="仿宋_GB2312" w:cs="楷体"/>
          <w:b w:val="0"/>
          <w:bCs w:val="0"/>
          <w:lang w:eastAsia="zh-CN"/>
        </w:rPr>
      </w:pPr>
      <w:r>
        <w:rPr>
          <w:rFonts w:hint="eastAsia" w:hAnsi="楷体" w:eastAsia="仿宋_GB2312" w:cs="楷体"/>
          <w:b w:val="0"/>
          <w:bCs w:val="0"/>
          <w:lang w:eastAsia="zh-CN"/>
        </w:rPr>
        <w:t>3.一般公共预算：对以税收为主体的财政收入，安排用于保障和改善民生、推动经济社会发展、维护国家安全、维持国家机构正常运转等方面的收支预算。主要包括本级财力、专项收入、执法办案补助、收费成本补偿和国有资源（资产）有偿使用。</w:t>
      </w:r>
    </w:p>
    <w:p w14:paraId="141CBCE1">
      <w:pPr>
        <w:keepNext w:val="0"/>
        <w:keepLines w:val="0"/>
        <w:pageBreakBefore w:val="0"/>
        <w:widowControl w:val="0"/>
        <w:tabs>
          <w:tab w:val="left" w:pos="3811"/>
        </w:tabs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hAnsi="楷体" w:eastAsia="仿宋_GB2312" w:cs="楷体"/>
          <w:b w:val="0"/>
          <w:bCs w:val="0"/>
          <w:lang w:eastAsia="zh-CN"/>
        </w:rPr>
      </w:pPr>
      <w:r>
        <w:rPr>
          <w:rFonts w:hint="eastAsia" w:hAnsi="楷体" w:eastAsia="仿宋_GB2312" w:cs="楷体"/>
          <w:b w:val="0"/>
          <w:bCs w:val="0"/>
          <w:lang w:val="en-US" w:eastAsia="zh-CN"/>
        </w:rPr>
        <w:t>4</w:t>
      </w:r>
      <w:r>
        <w:rPr>
          <w:rFonts w:hint="eastAsia" w:hAnsi="楷体" w:eastAsia="仿宋_GB2312" w:cs="楷体"/>
          <w:b w:val="0"/>
          <w:bCs w:val="0"/>
          <w:lang w:eastAsia="zh-CN"/>
        </w:rPr>
        <w:t>.“三公”</w:t>
      </w:r>
      <w:r>
        <w:rPr>
          <w:rFonts w:hint="eastAsia" w:hAnsi="楷体" w:cs="楷体"/>
          <w:b w:val="0"/>
          <w:bCs w:val="0"/>
          <w:lang w:eastAsia="zh-CN"/>
        </w:rPr>
        <w:t>经费</w:t>
      </w:r>
      <w:r>
        <w:rPr>
          <w:rFonts w:hint="eastAsia" w:hAnsi="楷体" w:eastAsia="仿宋_GB2312" w:cs="楷体"/>
          <w:b w:val="0"/>
          <w:bCs w:val="0"/>
          <w:lang w:eastAsia="zh-CN"/>
        </w:rPr>
        <w:t>支出：纳入财政预决算管理的“三公”经费，是部门用财政拨款安排的因公出国（境）费、公务用车购置及运行费和公务接待费。其中：因公出国（境）费反映单位公务出国（境）的国际旅费、国外城市交通费、住宿费、伙食费、培训费、公杂费等支出；公务用车购置及</w:t>
      </w:r>
      <w:r>
        <w:rPr>
          <w:rFonts w:hint="eastAsia" w:hAnsi="楷体" w:eastAsia="仿宋_GB2312" w:cs="楷体"/>
          <w:b w:val="0"/>
          <w:bCs w:val="0"/>
          <w:lang w:val="en-US" w:eastAsia="zh-CN"/>
        </w:rPr>
        <w:t>运行</w:t>
      </w:r>
      <w:r>
        <w:rPr>
          <w:rFonts w:hint="eastAsia" w:hAnsi="楷体" w:eastAsia="仿宋_GB2312" w:cs="楷体"/>
          <w:b w:val="0"/>
          <w:bCs w:val="0"/>
          <w:lang w:eastAsia="zh-CN"/>
        </w:rPr>
        <w:t>费反映单位公务用车车辆购置支出（含车辆购置税）及租用费、燃料费、维修费、过路过桥费、保险费、安全奖励费用等支出；公务接待费反映单位按规定开支的各类公务接待（含外宾接待）支出。</w:t>
      </w:r>
    </w:p>
    <w:p w14:paraId="27B2A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（二）机关运行经费安排变化情况及原因说明</w:t>
      </w:r>
    </w:p>
    <w:p w14:paraId="484C85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</w:pP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年机关运行经费安排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元，与上年对比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无变动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，主要原因分析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：</w:t>
      </w:r>
      <w:r>
        <w:rPr>
          <w:rFonts w:hint="eastAsia"/>
        </w:rPr>
        <w:t>我单位为事业单位，所以机关运行经费为0</w:t>
      </w:r>
      <w:r>
        <w:t>.00</w:t>
      </w:r>
      <w:r>
        <w:rPr>
          <w:rFonts w:hint="eastAsia"/>
        </w:rPr>
        <w:t>元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。</w:t>
      </w:r>
    </w:p>
    <w:p w14:paraId="3A9BF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jc w:val="both"/>
        <w:textAlignment w:val="auto"/>
        <w:rPr>
          <w:rFonts w:hint="eastAsia" w:ascii="楷体_GB2312" w:eastAsia="楷体_GB2312"/>
          <w:b w:val="0"/>
          <w:bCs w:val="0"/>
        </w:rPr>
      </w:pPr>
      <w:r>
        <w:rPr>
          <w:rFonts w:hint="eastAsia" w:ascii="楷体_GB2312" w:eastAsia="楷体_GB2312"/>
          <w:b w:val="0"/>
          <w:bCs w:val="0"/>
        </w:rPr>
        <w:t>（三）国有资产占有使用情况</w:t>
      </w:r>
    </w:p>
    <w:p w14:paraId="2112C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590" w:lineRule="exact"/>
        <w:ind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yellow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截至202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年12月31日，</w:t>
      </w:r>
      <w:r>
        <w:rPr>
          <w:rFonts w:hint="eastAsia" w:hAnsi="仿宋_GB2312" w:cs="仿宋_GB2312"/>
          <w:b w:val="0"/>
          <w:bCs w:val="0"/>
          <w:color w:val="000000" w:themeColor="text1"/>
          <w:kern w:val="0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云南师范大学附属世纪金源学校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资产总额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22,989,140.53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元，其中，流动资产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11,787,889.72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元，固定资产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原值28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056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019.12元，固定资产累计折旧16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904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436.47元，固定资产净值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11,151,582.65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元，对外投资及有价证券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元，在建工程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元，无形资产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原值97,450.00元，无形资产累计摊销47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lang w:val="en-US" w:eastAsia="zh-CN"/>
        </w:rPr>
        <w:t>781.84元，无形资产净值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49,668.16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元，其他资产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元。与上年相比，本年资产总额增加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1,098,852.78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元，其中固定资产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减少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1,635,234.65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元。处置房屋建筑物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平方米，账面原值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元；处置车辆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辆，账面原值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元；报废报损资产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4172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项，账面原值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4,097,072.00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元，实现资产处置收入</w:t>
      </w:r>
      <w:r>
        <w:rPr>
          <w:rFonts w:hint="eastAsia" w:hAnsi="仿宋_GB2312" w:cs="仿宋_GB2312"/>
          <w:b w:val="0"/>
          <w:bCs w:val="0"/>
          <w:sz w:val="30"/>
          <w:szCs w:val="30"/>
          <w:highlight w:val="none"/>
          <w:lang w:val="en-US" w:eastAsia="zh-CN"/>
        </w:rPr>
        <w:t>156,000.00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  <w:highlight w:val="none"/>
        </w:rPr>
        <w:t>元；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资产使用收入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元，其中出租资产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平方米，资产出租收入</w:t>
      </w:r>
      <w:r>
        <w:rPr>
          <w:rFonts w:hint="eastAsia" w:hAnsi="仿宋_GB2312" w:cs="仿宋_GB2312"/>
          <w:b w:val="0"/>
          <w:bCs w:val="0"/>
          <w:sz w:val="30"/>
          <w:szCs w:val="30"/>
          <w:lang w:val="en-US" w:eastAsia="zh-CN"/>
        </w:rPr>
        <w:t>0.00</w:t>
      </w:r>
      <w:r>
        <w:rPr>
          <w:rFonts w:hint="eastAsia" w:ascii="仿宋_GB2312" w:hAnsi="仿宋_GB2312" w:eastAsia="仿宋_GB2312" w:cs="仿宋_GB2312"/>
          <w:b w:val="0"/>
          <w:bCs w:val="0"/>
          <w:sz w:val="30"/>
          <w:szCs w:val="30"/>
        </w:rPr>
        <w:t>元</w:t>
      </w:r>
      <w:r>
        <w:rPr>
          <w:rFonts w:hint="eastAsia" w:hAnsi="仿宋_GB2312" w:cs="仿宋_GB2312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eastAsia="仿宋_GB2312"/>
          <w:kern w:val="0"/>
          <w:sz w:val="32"/>
          <w:szCs w:val="32"/>
        </w:rPr>
        <w:t>鉴于截至202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4</w:t>
      </w:r>
      <w:r>
        <w:rPr>
          <w:rFonts w:hint="eastAsia" w:eastAsia="仿宋_GB2312"/>
          <w:kern w:val="0"/>
          <w:sz w:val="32"/>
          <w:szCs w:val="32"/>
        </w:rPr>
        <w:t>年12月31日的国有资产占有使用精准数据，需在完成202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4</w:t>
      </w:r>
      <w:r>
        <w:rPr>
          <w:rFonts w:hint="eastAsia" w:eastAsia="仿宋_GB2312"/>
          <w:kern w:val="0"/>
          <w:sz w:val="32"/>
          <w:szCs w:val="32"/>
        </w:rPr>
        <w:t>年决算编制后才能汇总，此处公开为202</w:t>
      </w:r>
      <w:r>
        <w:rPr>
          <w:rFonts w:hint="eastAsia"/>
          <w:kern w:val="0"/>
          <w:sz w:val="32"/>
          <w:szCs w:val="32"/>
          <w:lang w:val="en-US" w:eastAsia="zh-CN"/>
        </w:rPr>
        <w:t>4</w:t>
      </w:r>
      <w:r>
        <w:rPr>
          <w:rFonts w:hint="eastAsia" w:eastAsia="仿宋_GB2312"/>
          <w:kern w:val="0"/>
          <w:sz w:val="32"/>
          <w:szCs w:val="32"/>
        </w:rPr>
        <w:t>年</w:t>
      </w:r>
      <w:r>
        <w:rPr>
          <w:rFonts w:hint="eastAsia"/>
          <w:kern w:val="0"/>
          <w:sz w:val="32"/>
          <w:szCs w:val="32"/>
          <w:lang w:val="en-US" w:eastAsia="zh-CN"/>
        </w:rPr>
        <w:t>12</w:t>
      </w:r>
      <w:r>
        <w:rPr>
          <w:rFonts w:hint="eastAsia" w:eastAsia="仿宋_GB2312"/>
          <w:kern w:val="0"/>
          <w:sz w:val="32"/>
          <w:szCs w:val="32"/>
        </w:rPr>
        <w:t>月</w:t>
      </w:r>
      <w:r>
        <w:rPr>
          <w:rFonts w:hint="eastAsia"/>
          <w:kern w:val="0"/>
          <w:sz w:val="32"/>
          <w:szCs w:val="32"/>
          <w:lang w:eastAsia="zh-CN"/>
        </w:rPr>
        <w:t>（</w:t>
      </w:r>
      <w:r>
        <w:rPr>
          <w:rFonts w:hint="eastAsia"/>
          <w:kern w:val="0"/>
          <w:sz w:val="32"/>
          <w:szCs w:val="32"/>
          <w:lang w:val="en-US" w:eastAsia="zh-CN"/>
        </w:rPr>
        <w:t>2025年1月上报</w:t>
      </w:r>
      <w:r>
        <w:rPr>
          <w:rFonts w:hint="eastAsia"/>
          <w:kern w:val="0"/>
          <w:sz w:val="32"/>
          <w:szCs w:val="32"/>
          <w:lang w:eastAsia="zh-CN"/>
        </w:rPr>
        <w:t>）</w:t>
      </w:r>
      <w:r>
        <w:rPr>
          <w:rFonts w:hint="eastAsia" w:eastAsia="仿宋_GB2312"/>
          <w:kern w:val="0"/>
          <w:sz w:val="32"/>
          <w:szCs w:val="32"/>
        </w:rPr>
        <w:t>资产月报</w:t>
      </w:r>
      <w:r>
        <w:rPr>
          <w:rFonts w:hint="eastAsia"/>
          <w:kern w:val="0"/>
          <w:sz w:val="32"/>
          <w:szCs w:val="32"/>
          <w:lang w:eastAsia="zh-CN"/>
        </w:rPr>
        <w:t>数据</w:t>
      </w:r>
      <w:r>
        <w:rPr>
          <w:rFonts w:hint="eastAsia" w:eastAsia="仿宋_GB2312"/>
          <w:kern w:val="0"/>
          <w:sz w:val="32"/>
          <w:szCs w:val="32"/>
        </w:rPr>
        <w:t>。</w:t>
      </w:r>
    </w:p>
    <w:p w14:paraId="0E27E72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/>
        <w:snapToGrid/>
        <w:textAlignment w:val="auto"/>
        <w:rPr>
          <w:rFonts w:hint="eastAsia" w:ascii="仿宋_GB2312" w:eastAsia="仿宋_GB2312" w:hAnsiTheme="minorHAnsi" w:cstheme="minorBidi"/>
          <w:sz w:val="32"/>
          <w:szCs w:val="32"/>
          <w:lang w:val="en-US" w:eastAsia="zh-CN" w:bidi="ar-SA"/>
        </w:rPr>
      </w:pPr>
    </w:p>
    <w:p w14:paraId="25FCB404">
      <w:pPr>
        <w:bidi w:val="0"/>
        <w:ind w:left="0" w:leftChars="0" w:firstLine="0" w:firstLineChars="0"/>
        <w:jc w:val="center"/>
        <w:rPr>
          <w:rFonts w:hint="eastAsia"/>
          <w:lang w:val="en-US"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9EBC6F-36D3-45C0-B1C1-57B147DC111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8106F199-0CF4-4BD1-86FA-ECD9A6DAE41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1B90265F-AEFE-4CB6-A3F2-536EFFD137B7}"/>
  </w:font>
  <w:font w:name="??">
    <w:altName w:val="宋体"/>
    <w:panose1 w:val="00000000000000000000"/>
    <w:charset w:val="4D"/>
    <w:family w:val="roman"/>
    <w:pitch w:val="default"/>
    <w:sig w:usb0="00000000" w:usb1="00000000" w:usb2="00000010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CFAC7F5-F415-43E6-9BAB-F52E04E9B6D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8ACEB876-103A-4212-8033-A231B7DAA5E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24D9C7D9-61E5-4B8D-9667-7D3F56C6C70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DE85FD">
    <w:pPr>
      <w:pStyle w:val="6"/>
      <w:ind w:firstLine="360"/>
    </w:pPr>
  </w:p>
  <w:p w14:paraId="32C709BC">
    <w:pPr>
      <w:pStyle w:val="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D9D434"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F61D4F"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1F577">
    <w:pPr>
      <w:ind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46C9B3"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1FF420">
    <w:pPr>
      <w:pStyle w:val="7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6039D3"/>
    <w:multiLevelType w:val="singleLevel"/>
    <w:tmpl w:val="ED6039D3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5ZTc3OTE2MzJmOWM1OTNmZWUwZGFlMzg3NmI4OWIifQ=="/>
  </w:docVars>
  <w:rsids>
    <w:rsidRoot w:val="00A17130"/>
    <w:rsid w:val="00001B1A"/>
    <w:rsid w:val="00001F68"/>
    <w:rsid w:val="000046A6"/>
    <w:rsid w:val="00012221"/>
    <w:rsid w:val="00013DC9"/>
    <w:rsid w:val="000165D3"/>
    <w:rsid w:val="000200B8"/>
    <w:rsid w:val="00023713"/>
    <w:rsid w:val="000277A8"/>
    <w:rsid w:val="000344CC"/>
    <w:rsid w:val="00034AE2"/>
    <w:rsid w:val="00037493"/>
    <w:rsid w:val="000407B7"/>
    <w:rsid w:val="000433D2"/>
    <w:rsid w:val="00045FF0"/>
    <w:rsid w:val="00051CBE"/>
    <w:rsid w:val="00063E95"/>
    <w:rsid w:val="00064228"/>
    <w:rsid w:val="00071546"/>
    <w:rsid w:val="000715D7"/>
    <w:rsid w:val="0007302A"/>
    <w:rsid w:val="0007392A"/>
    <w:rsid w:val="000777CA"/>
    <w:rsid w:val="00084A7D"/>
    <w:rsid w:val="00087A68"/>
    <w:rsid w:val="00092459"/>
    <w:rsid w:val="00096A3B"/>
    <w:rsid w:val="000A2F61"/>
    <w:rsid w:val="000B34EF"/>
    <w:rsid w:val="000C3655"/>
    <w:rsid w:val="000C67A8"/>
    <w:rsid w:val="000C7956"/>
    <w:rsid w:val="000E1C88"/>
    <w:rsid w:val="000E1DF1"/>
    <w:rsid w:val="000E64B8"/>
    <w:rsid w:val="000F6A93"/>
    <w:rsid w:val="000F7289"/>
    <w:rsid w:val="00105AD6"/>
    <w:rsid w:val="00106279"/>
    <w:rsid w:val="00113338"/>
    <w:rsid w:val="00116451"/>
    <w:rsid w:val="00116976"/>
    <w:rsid w:val="001321E2"/>
    <w:rsid w:val="00137C9E"/>
    <w:rsid w:val="0014424A"/>
    <w:rsid w:val="00145247"/>
    <w:rsid w:val="00150CA3"/>
    <w:rsid w:val="0015711A"/>
    <w:rsid w:val="00160258"/>
    <w:rsid w:val="00163A09"/>
    <w:rsid w:val="00165A37"/>
    <w:rsid w:val="00167827"/>
    <w:rsid w:val="00176506"/>
    <w:rsid w:val="001843E0"/>
    <w:rsid w:val="001868AF"/>
    <w:rsid w:val="00193216"/>
    <w:rsid w:val="00196193"/>
    <w:rsid w:val="001A6118"/>
    <w:rsid w:val="001B0A39"/>
    <w:rsid w:val="001B221B"/>
    <w:rsid w:val="001B33A0"/>
    <w:rsid w:val="001B3E61"/>
    <w:rsid w:val="001B5617"/>
    <w:rsid w:val="001C5C0A"/>
    <w:rsid w:val="001D7397"/>
    <w:rsid w:val="001E0242"/>
    <w:rsid w:val="001E5000"/>
    <w:rsid w:val="001F3E3B"/>
    <w:rsid w:val="00212BE3"/>
    <w:rsid w:val="00213EA4"/>
    <w:rsid w:val="00220045"/>
    <w:rsid w:val="0022222B"/>
    <w:rsid w:val="00222686"/>
    <w:rsid w:val="00225D50"/>
    <w:rsid w:val="002309CE"/>
    <w:rsid w:val="0023359D"/>
    <w:rsid w:val="00233BDE"/>
    <w:rsid w:val="00240AF8"/>
    <w:rsid w:val="00252354"/>
    <w:rsid w:val="0026158B"/>
    <w:rsid w:val="00263117"/>
    <w:rsid w:val="00282328"/>
    <w:rsid w:val="00283965"/>
    <w:rsid w:val="0028462B"/>
    <w:rsid w:val="002905B5"/>
    <w:rsid w:val="0029292C"/>
    <w:rsid w:val="002954FD"/>
    <w:rsid w:val="002A4BB4"/>
    <w:rsid w:val="002B074E"/>
    <w:rsid w:val="002C30AB"/>
    <w:rsid w:val="002C5493"/>
    <w:rsid w:val="002D1602"/>
    <w:rsid w:val="002D33F9"/>
    <w:rsid w:val="002D5162"/>
    <w:rsid w:val="002D6B7D"/>
    <w:rsid w:val="002E64F7"/>
    <w:rsid w:val="002E77CC"/>
    <w:rsid w:val="002F0B7B"/>
    <w:rsid w:val="002F11A7"/>
    <w:rsid w:val="002F1CE4"/>
    <w:rsid w:val="002F6F35"/>
    <w:rsid w:val="002F7E28"/>
    <w:rsid w:val="003045F0"/>
    <w:rsid w:val="00313865"/>
    <w:rsid w:val="00316430"/>
    <w:rsid w:val="003540C3"/>
    <w:rsid w:val="0035477B"/>
    <w:rsid w:val="003579D4"/>
    <w:rsid w:val="00364524"/>
    <w:rsid w:val="0036690F"/>
    <w:rsid w:val="00373E72"/>
    <w:rsid w:val="003802C2"/>
    <w:rsid w:val="003862A6"/>
    <w:rsid w:val="00390542"/>
    <w:rsid w:val="003A19AE"/>
    <w:rsid w:val="003A263C"/>
    <w:rsid w:val="003A4F10"/>
    <w:rsid w:val="003A6310"/>
    <w:rsid w:val="003B0A78"/>
    <w:rsid w:val="003B3D3B"/>
    <w:rsid w:val="003B4A6A"/>
    <w:rsid w:val="003C0887"/>
    <w:rsid w:val="003C1B27"/>
    <w:rsid w:val="003C421F"/>
    <w:rsid w:val="003D5D38"/>
    <w:rsid w:val="003D645C"/>
    <w:rsid w:val="003E100C"/>
    <w:rsid w:val="003E15A5"/>
    <w:rsid w:val="003F0B6B"/>
    <w:rsid w:val="003F4B13"/>
    <w:rsid w:val="00403FC8"/>
    <w:rsid w:val="004046CD"/>
    <w:rsid w:val="00405787"/>
    <w:rsid w:val="00405C76"/>
    <w:rsid w:val="00405D73"/>
    <w:rsid w:val="0041229A"/>
    <w:rsid w:val="004200BB"/>
    <w:rsid w:val="004314C8"/>
    <w:rsid w:val="00433290"/>
    <w:rsid w:val="004333B9"/>
    <w:rsid w:val="0044457F"/>
    <w:rsid w:val="00457140"/>
    <w:rsid w:val="00467D6D"/>
    <w:rsid w:val="00472165"/>
    <w:rsid w:val="004766C9"/>
    <w:rsid w:val="00477B16"/>
    <w:rsid w:val="00484830"/>
    <w:rsid w:val="00484D17"/>
    <w:rsid w:val="00490B98"/>
    <w:rsid w:val="00492A5A"/>
    <w:rsid w:val="004A096D"/>
    <w:rsid w:val="004A6013"/>
    <w:rsid w:val="004B02D0"/>
    <w:rsid w:val="004B7D85"/>
    <w:rsid w:val="004C15E4"/>
    <w:rsid w:val="004C6568"/>
    <w:rsid w:val="004C7458"/>
    <w:rsid w:val="004D0E67"/>
    <w:rsid w:val="004D6ABF"/>
    <w:rsid w:val="004E1070"/>
    <w:rsid w:val="004E18B8"/>
    <w:rsid w:val="004E1FA1"/>
    <w:rsid w:val="004E34F1"/>
    <w:rsid w:val="004E36B9"/>
    <w:rsid w:val="004E4731"/>
    <w:rsid w:val="004F3349"/>
    <w:rsid w:val="004F3489"/>
    <w:rsid w:val="004F37A6"/>
    <w:rsid w:val="004F3C37"/>
    <w:rsid w:val="004F6766"/>
    <w:rsid w:val="00501009"/>
    <w:rsid w:val="00511288"/>
    <w:rsid w:val="005134CB"/>
    <w:rsid w:val="00514C73"/>
    <w:rsid w:val="005215BD"/>
    <w:rsid w:val="005218FF"/>
    <w:rsid w:val="00521D9B"/>
    <w:rsid w:val="00521FB3"/>
    <w:rsid w:val="00540F22"/>
    <w:rsid w:val="00545974"/>
    <w:rsid w:val="00546FB6"/>
    <w:rsid w:val="00547077"/>
    <w:rsid w:val="00547D15"/>
    <w:rsid w:val="00551DEB"/>
    <w:rsid w:val="005523EE"/>
    <w:rsid w:val="00555CB9"/>
    <w:rsid w:val="00557A2F"/>
    <w:rsid w:val="005725D2"/>
    <w:rsid w:val="00574DD7"/>
    <w:rsid w:val="00575F83"/>
    <w:rsid w:val="00587753"/>
    <w:rsid w:val="00590AC7"/>
    <w:rsid w:val="00592681"/>
    <w:rsid w:val="005929C1"/>
    <w:rsid w:val="005A3399"/>
    <w:rsid w:val="005B00D0"/>
    <w:rsid w:val="005B76FE"/>
    <w:rsid w:val="005C2F3E"/>
    <w:rsid w:val="005D418B"/>
    <w:rsid w:val="005D6482"/>
    <w:rsid w:val="005D6B70"/>
    <w:rsid w:val="005E2F85"/>
    <w:rsid w:val="005F57D9"/>
    <w:rsid w:val="005F6BD6"/>
    <w:rsid w:val="00603095"/>
    <w:rsid w:val="0060386B"/>
    <w:rsid w:val="00611236"/>
    <w:rsid w:val="00611946"/>
    <w:rsid w:val="006209EE"/>
    <w:rsid w:val="00635BEA"/>
    <w:rsid w:val="00640454"/>
    <w:rsid w:val="00644ADC"/>
    <w:rsid w:val="0064519B"/>
    <w:rsid w:val="006504A6"/>
    <w:rsid w:val="00653467"/>
    <w:rsid w:val="00660B2B"/>
    <w:rsid w:val="0067301E"/>
    <w:rsid w:val="00673550"/>
    <w:rsid w:val="00697E5C"/>
    <w:rsid w:val="006A12D4"/>
    <w:rsid w:val="006A3549"/>
    <w:rsid w:val="006A7882"/>
    <w:rsid w:val="006B1E3A"/>
    <w:rsid w:val="006B47BC"/>
    <w:rsid w:val="006C0EBF"/>
    <w:rsid w:val="006C2836"/>
    <w:rsid w:val="006C443A"/>
    <w:rsid w:val="006C48BC"/>
    <w:rsid w:val="006E3530"/>
    <w:rsid w:val="006F57C5"/>
    <w:rsid w:val="0070158F"/>
    <w:rsid w:val="00705A92"/>
    <w:rsid w:val="007072ED"/>
    <w:rsid w:val="00721205"/>
    <w:rsid w:val="00730978"/>
    <w:rsid w:val="007407FD"/>
    <w:rsid w:val="00751AD6"/>
    <w:rsid w:val="00753764"/>
    <w:rsid w:val="00755A51"/>
    <w:rsid w:val="00760596"/>
    <w:rsid w:val="007714B4"/>
    <w:rsid w:val="00771F7E"/>
    <w:rsid w:val="00773B78"/>
    <w:rsid w:val="00785CDE"/>
    <w:rsid w:val="007861AB"/>
    <w:rsid w:val="007904E0"/>
    <w:rsid w:val="007B7B94"/>
    <w:rsid w:val="007C1577"/>
    <w:rsid w:val="007D0D38"/>
    <w:rsid w:val="007D282C"/>
    <w:rsid w:val="007D340E"/>
    <w:rsid w:val="007D370E"/>
    <w:rsid w:val="007E5A16"/>
    <w:rsid w:val="007F45A7"/>
    <w:rsid w:val="007F67C5"/>
    <w:rsid w:val="007F6839"/>
    <w:rsid w:val="007F741F"/>
    <w:rsid w:val="00801E51"/>
    <w:rsid w:val="00806000"/>
    <w:rsid w:val="00806053"/>
    <w:rsid w:val="00806FEE"/>
    <w:rsid w:val="008129B9"/>
    <w:rsid w:val="0082265D"/>
    <w:rsid w:val="008240C3"/>
    <w:rsid w:val="00834A1D"/>
    <w:rsid w:val="00834EA8"/>
    <w:rsid w:val="00836CBA"/>
    <w:rsid w:val="008448E8"/>
    <w:rsid w:val="008515C1"/>
    <w:rsid w:val="00851C5B"/>
    <w:rsid w:val="00854545"/>
    <w:rsid w:val="008559FB"/>
    <w:rsid w:val="008713F3"/>
    <w:rsid w:val="008724AC"/>
    <w:rsid w:val="00872D77"/>
    <w:rsid w:val="008770B1"/>
    <w:rsid w:val="00877DA5"/>
    <w:rsid w:val="00880D49"/>
    <w:rsid w:val="00886DEA"/>
    <w:rsid w:val="00887A52"/>
    <w:rsid w:val="00895BA5"/>
    <w:rsid w:val="008A0D1E"/>
    <w:rsid w:val="008A4D94"/>
    <w:rsid w:val="008A6261"/>
    <w:rsid w:val="008B09A3"/>
    <w:rsid w:val="008B1680"/>
    <w:rsid w:val="008B2490"/>
    <w:rsid w:val="008B27FE"/>
    <w:rsid w:val="008C255B"/>
    <w:rsid w:val="008C2D97"/>
    <w:rsid w:val="008D265D"/>
    <w:rsid w:val="008D30BB"/>
    <w:rsid w:val="008D534C"/>
    <w:rsid w:val="008F3999"/>
    <w:rsid w:val="008F62A6"/>
    <w:rsid w:val="00900D48"/>
    <w:rsid w:val="00902FAA"/>
    <w:rsid w:val="0090306A"/>
    <w:rsid w:val="00903450"/>
    <w:rsid w:val="00903640"/>
    <w:rsid w:val="00903E7D"/>
    <w:rsid w:val="009046C6"/>
    <w:rsid w:val="00910BAE"/>
    <w:rsid w:val="0091232D"/>
    <w:rsid w:val="00915923"/>
    <w:rsid w:val="00916F86"/>
    <w:rsid w:val="00921E03"/>
    <w:rsid w:val="0092204D"/>
    <w:rsid w:val="00924A22"/>
    <w:rsid w:val="00926702"/>
    <w:rsid w:val="00927EE2"/>
    <w:rsid w:val="009371A1"/>
    <w:rsid w:val="009376A9"/>
    <w:rsid w:val="00943614"/>
    <w:rsid w:val="00943DED"/>
    <w:rsid w:val="00955D4C"/>
    <w:rsid w:val="00960D63"/>
    <w:rsid w:val="00962BA2"/>
    <w:rsid w:val="0096593B"/>
    <w:rsid w:val="00966DDE"/>
    <w:rsid w:val="0096763F"/>
    <w:rsid w:val="00975DE5"/>
    <w:rsid w:val="00977B93"/>
    <w:rsid w:val="0098190A"/>
    <w:rsid w:val="00985823"/>
    <w:rsid w:val="00987485"/>
    <w:rsid w:val="00991A31"/>
    <w:rsid w:val="009935F3"/>
    <w:rsid w:val="009A46EC"/>
    <w:rsid w:val="009A53BF"/>
    <w:rsid w:val="009A7CAB"/>
    <w:rsid w:val="009B21FF"/>
    <w:rsid w:val="009D5F63"/>
    <w:rsid w:val="009E0502"/>
    <w:rsid w:val="009E0B30"/>
    <w:rsid w:val="009F3C13"/>
    <w:rsid w:val="009F6AEC"/>
    <w:rsid w:val="00A0238B"/>
    <w:rsid w:val="00A14164"/>
    <w:rsid w:val="00A14FDE"/>
    <w:rsid w:val="00A16FE7"/>
    <w:rsid w:val="00A17130"/>
    <w:rsid w:val="00A20ADF"/>
    <w:rsid w:val="00A24121"/>
    <w:rsid w:val="00A2698C"/>
    <w:rsid w:val="00A27880"/>
    <w:rsid w:val="00A348B2"/>
    <w:rsid w:val="00A41D96"/>
    <w:rsid w:val="00A43070"/>
    <w:rsid w:val="00A44BEC"/>
    <w:rsid w:val="00A451F0"/>
    <w:rsid w:val="00A52B90"/>
    <w:rsid w:val="00A5342A"/>
    <w:rsid w:val="00A53ED8"/>
    <w:rsid w:val="00A63B74"/>
    <w:rsid w:val="00A64A75"/>
    <w:rsid w:val="00A66324"/>
    <w:rsid w:val="00A716CA"/>
    <w:rsid w:val="00A71FE8"/>
    <w:rsid w:val="00A7271A"/>
    <w:rsid w:val="00A738E3"/>
    <w:rsid w:val="00A77675"/>
    <w:rsid w:val="00A778CC"/>
    <w:rsid w:val="00A77F04"/>
    <w:rsid w:val="00A93D0B"/>
    <w:rsid w:val="00A951C6"/>
    <w:rsid w:val="00A955BC"/>
    <w:rsid w:val="00AA2F1C"/>
    <w:rsid w:val="00AA405C"/>
    <w:rsid w:val="00AA4718"/>
    <w:rsid w:val="00AA7874"/>
    <w:rsid w:val="00AB0DE2"/>
    <w:rsid w:val="00AB42D1"/>
    <w:rsid w:val="00AC023E"/>
    <w:rsid w:val="00AC1282"/>
    <w:rsid w:val="00AD33EE"/>
    <w:rsid w:val="00AD3ABB"/>
    <w:rsid w:val="00AE15FF"/>
    <w:rsid w:val="00AF1DDE"/>
    <w:rsid w:val="00AF2B9F"/>
    <w:rsid w:val="00AF615B"/>
    <w:rsid w:val="00B126C9"/>
    <w:rsid w:val="00B13005"/>
    <w:rsid w:val="00B17EEB"/>
    <w:rsid w:val="00B237F1"/>
    <w:rsid w:val="00B33768"/>
    <w:rsid w:val="00B40149"/>
    <w:rsid w:val="00B440D7"/>
    <w:rsid w:val="00B44953"/>
    <w:rsid w:val="00B51A49"/>
    <w:rsid w:val="00B57F6C"/>
    <w:rsid w:val="00B601ED"/>
    <w:rsid w:val="00B60EB8"/>
    <w:rsid w:val="00B6137F"/>
    <w:rsid w:val="00B61CD1"/>
    <w:rsid w:val="00B62529"/>
    <w:rsid w:val="00B67DB5"/>
    <w:rsid w:val="00B7035C"/>
    <w:rsid w:val="00B7207D"/>
    <w:rsid w:val="00B810E4"/>
    <w:rsid w:val="00B84EDD"/>
    <w:rsid w:val="00B84FAA"/>
    <w:rsid w:val="00B862BB"/>
    <w:rsid w:val="00B86A76"/>
    <w:rsid w:val="00B96AA5"/>
    <w:rsid w:val="00B97425"/>
    <w:rsid w:val="00BA4EDC"/>
    <w:rsid w:val="00BA7AAA"/>
    <w:rsid w:val="00BB1586"/>
    <w:rsid w:val="00BB4BAB"/>
    <w:rsid w:val="00BB6FB4"/>
    <w:rsid w:val="00BC1446"/>
    <w:rsid w:val="00BC3B98"/>
    <w:rsid w:val="00BC6220"/>
    <w:rsid w:val="00BC69D5"/>
    <w:rsid w:val="00BD02FF"/>
    <w:rsid w:val="00BD2D4B"/>
    <w:rsid w:val="00C02C9D"/>
    <w:rsid w:val="00C04F41"/>
    <w:rsid w:val="00C051F1"/>
    <w:rsid w:val="00C06B1B"/>
    <w:rsid w:val="00C07E40"/>
    <w:rsid w:val="00C13313"/>
    <w:rsid w:val="00C142BE"/>
    <w:rsid w:val="00C14E48"/>
    <w:rsid w:val="00C234D1"/>
    <w:rsid w:val="00C23F59"/>
    <w:rsid w:val="00C24359"/>
    <w:rsid w:val="00C24F56"/>
    <w:rsid w:val="00C30479"/>
    <w:rsid w:val="00C316DD"/>
    <w:rsid w:val="00C32A66"/>
    <w:rsid w:val="00C37418"/>
    <w:rsid w:val="00C43BFA"/>
    <w:rsid w:val="00C51CBF"/>
    <w:rsid w:val="00C52E4F"/>
    <w:rsid w:val="00C53C24"/>
    <w:rsid w:val="00C55381"/>
    <w:rsid w:val="00C62200"/>
    <w:rsid w:val="00C649AF"/>
    <w:rsid w:val="00C71F84"/>
    <w:rsid w:val="00C7457F"/>
    <w:rsid w:val="00C77C1B"/>
    <w:rsid w:val="00C839E3"/>
    <w:rsid w:val="00C86B77"/>
    <w:rsid w:val="00C950DC"/>
    <w:rsid w:val="00C97789"/>
    <w:rsid w:val="00CA32CD"/>
    <w:rsid w:val="00CB334F"/>
    <w:rsid w:val="00CC312C"/>
    <w:rsid w:val="00CC6708"/>
    <w:rsid w:val="00CD3552"/>
    <w:rsid w:val="00CE281C"/>
    <w:rsid w:val="00CE2890"/>
    <w:rsid w:val="00CE375B"/>
    <w:rsid w:val="00CE4071"/>
    <w:rsid w:val="00CF2D9B"/>
    <w:rsid w:val="00CF4346"/>
    <w:rsid w:val="00CF69DF"/>
    <w:rsid w:val="00D00EDC"/>
    <w:rsid w:val="00D0313D"/>
    <w:rsid w:val="00D05161"/>
    <w:rsid w:val="00D06BE8"/>
    <w:rsid w:val="00D12661"/>
    <w:rsid w:val="00D12AED"/>
    <w:rsid w:val="00D2448A"/>
    <w:rsid w:val="00D25DD4"/>
    <w:rsid w:val="00D26E84"/>
    <w:rsid w:val="00D312FC"/>
    <w:rsid w:val="00D31981"/>
    <w:rsid w:val="00D42EAE"/>
    <w:rsid w:val="00D4493F"/>
    <w:rsid w:val="00D54D2E"/>
    <w:rsid w:val="00D6000A"/>
    <w:rsid w:val="00D6281D"/>
    <w:rsid w:val="00D65F2A"/>
    <w:rsid w:val="00D6768F"/>
    <w:rsid w:val="00D70356"/>
    <w:rsid w:val="00D73060"/>
    <w:rsid w:val="00D74722"/>
    <w:rsid w:val="00D75E9C"/>
    <w:rsid w:val="00D92D76"/>
    <w:rsid w:val="00D933A4"/>
    <w:rsid w:val="00D94DCB"/>
    <w:rsid w:val="00D96CEC"/>
    <w:rsid w:val="00DB2C5D"/>
    <w:rsid w:val="00DB492E"/>
    <w:rsid w:val="00DB4B50"/>
    <w:rsid w:val="00DD1BD8"/>
    <w:rsid w:val="00DD221F"/>
    <w:rsid w:val="00DD325E"/>
    <w:rsid w:val="00DE30E7"/>
    <w:rsid w:val="00DE4ECE"/>
    <w:rsid w:val="00DF122E"/>
    <w:rsid w:val="00E13764"/>
    <w:rsid w:val="00E15645"/>
    <w:rsid w:val="00E17A8E"/>
    <w:rsid w:val="00E244FC"/>
    <w:rsid w:val="00E24624"/>
    <w:rsid w:val="00E26860"/>
    <w:rsid w:val="00E27207"/>
    <w:rsid w:val="00E34909"/>
    <w:rsid w:val="00E37ABB"/>
    <w:rsid w:val="00E45113"/>
    <w:rsid w:val="00E50D4D"/>
    <w:rsid w:val="00E557F2"/>
    <w:rsid w:val="00E5580C"/>
    <w:rsid w:val="00E60600"/>
    <w:rsid w:val="00E6242B"/>
    <w:rsid w:val="00E63DB4"/>
    <w:rsid w:val="00E66B2E"/>
    <w:rsid w:val="00E7300B"/>
    <w:rsid w:val="00E84B71"/>
    <w:rsid w:val="00E85685"/>
    <w:rsid w:val="00E865E2"/>
    <w:rsid w:val="00E917CC"/>
    <w:rsid w:val="00E94045"/>
    <w:rsid w:val="00E9507F"/>
    <w:rsid w:val="00E953AD"/>
    <w:rsid w:val="00E9597C"/>
    <w:rsid w:val="00EA2BFD"/>
    <w:rsid w:val="00EA649A"/>
    <w:rsid w:val="00EB4DB2"/>
    <w:rsid w:val="00EB688C"/>
    <w:rsid w:val="00EC374A"/>
    <w:rsid w:val="00EE3B26"/>
    <w:rsid w:val="00EE5381"/>
    <w:rsid w:val="00EE713E"/>
    <w:rsid w:val="00EF3FDA"/>
    <w:rsid w:val="00EF511D"/>
    <w:rsid w:val="00F05066"/>
    <w:rsid w:val="00F07232"/>
    <w:rsid w:val="00F07330"/>
    <w:rsid w:val="00F20859"/>
    <w:rsid w:val="00F20E84"/>
    <w:rsid w:val="00F24EA6"/>
    <w:rsid w:val="00F27041"/>
    <w:rsid w:val="00F42040"/>
    <w:rsid w:val="00F44F07"/>
    <w:rsid w:val="00F45197"/>
    <w:rsid w:val="00F47AF0"/>
    <w:rsid w:val="00F5079F"/>
    <w:rsid w:val="00F52A11"/>
    <w:rsid w:val="00F5506E"/>
    <w:rsid w:val="00F56E24"/>
    <w:rsid w:val="00F73D30"/>
    <w:rsid w:val="00F73F97"/>
    <w:rsid w:val="00F80308"/>
    <w:rsid w:val="00F84E20"/>
    <w:rsid w:val="00F87D3B"/>
    <w:rsid w:val="00F937EF"/>
    <w:rsid w:val="00F93AB5"/>
    <w:rsid w:val="00FA3D69"/>
    <w:rsid w:val="00FA480F"/>
    <w:rsid w:val="00FB54E2"/>
    <w:rsid w:val="00FC0012"/>
    <w:rsid w:val="00FC0E42"/>
    <w:rsid w:val="00FC1623"/>
    <w:rsid w:val="00FD1925"/>
    <w:rsid w:val="00FD1F85"/>
    <w:rsid w:val="00FD2703"/>
    <w:rsid w:val="00FD5AEF"/>
    <w:rsid w:val="00FD750D"/>
    <w:rsid w:val="00FE4A88"/>
    <w:rsid w:val="00FF4461"/>
    <w:rsid w:val="00FF6759"/>
    <w:rsid w:val="01981D96"/>
    <w:rsid w:val="029F7154"/>
    <w:rsid w:val="02F456F2"/>
    <w:rsid w:val="04B862AB"/>
    <w:rsid w:val="06DE2BA7"/>
    <w:rsid w:val="073065CD"/>
    <w:rsid w:val="073836D3"/>
    <w:rsid w:val="075B5D40"/>
    <w:rsid w:val="07702E6D"/>
    <w:rsid w:val="08073D63"/>
    <w:rsid w:val="08E90232"/>
    <w:rsid w:val="09EA6F07"/>
    <w:rsid w:val="0BAB6B6A"/>
    <w:rsid w:val="0CF14A50"/>
    <w:rsid w:val="0D5648B3"/>
    <w:rsid w:val="0D8713A0"/>
    <w:rsid w:val="0DA466A2"/>
    <w:rsid w:val="0DA60287"/>
    <w:rsid w:val="0DCA6A96"/>
    <w:rsid w:val="0DD028B8"/>
    <w:rsid w:val="0DF02F5A"/>
    <w:rsid w:val="0DF5439D"/>
    <w:rsid w:val="0E010CC3"/>
    <w:rsid w:val="0E8D69FB"/>
    <w:rsid w:val="0EBD066F"/>
    <w:rsid w:val="0F865924"/>
    <w:rsid w:val="0F9022FF"/>
    <w:rsid w:val="11643A43"/>
    <w:rsid w:val="11856C88"/>
    <w:rsid w:val="11964747"/>
    <w:rsid w:val="11E44B84"/>
    <w:rsid w:val="11EF0BEB"/>
    <w:rsid w:val="13471B9F"/>
    <w:rsid w:val="134C29E0"/>
    <w:rsid w:val="135D2E40"/>
    <w:rsid w:val="13996A54"/>
    <w:rsid w:val="13CC1D73"/>
    <w:rsid w:val="14192060"/>
    <w:rsid w:val="14731F34"/>
    <w:rsid w:val="14A71073"/>
    <w:rsid w:val="151524AC"/>
    <w:rsid w:val="1546362C"/>
    <w:rsid w:val="15F317A5"/>
    <w:rsid w:val="16027CCE"/>
    <w:rsid w:val="16B14B4F"/>
    <w:rsid w:val="16C15D36"/>
    <w:rsid w:val="16EE1A6A"/>
    <w:rsid w:val="187E2872"/>
    <w:rsid w:val="18F5247C"/>
    <w:rsid w:val="194C5F25"/>
    <w:rsid w:val="19C02EA8"/>
    <w:rsid w:val="1A0933D9"/>
    <w:rsid w:val="1BA36ACA"/>
    <w:rsid w:val="1C9373BD"/>
    <w:rsid w:val="1D1D0F4A"/>
    <w:rsid w:val="1E7B4D73"/>
    <w:rsid w:val="1EBB0A1A"/>
    <w:rsid w:val="1FB817C9"/>
    <w:rsid w:val="20EF2BFD"/>
    <w:rsid w:val="21E134AC"/>
    <w:rsid w:val="22925F36"/>
    <w:rsid w:val="231177A3"/>
    <w:rsid w:val="23160915"/>
    <w:rsid w:val="232057F5"/>
    <w:rsid w:val="24003A9F"/>
    <w:rsid w:val="24D46CDA"/>
    <w:rsid w:val="24FE4843"/>
    <w:rsid w:val="25493047"/>
    <w:rsid w:val="255B7B35"/>
    <w:rsid w:val="26972F43"/>
    <w:rsid w:val="27455C6D"/>
    <w:rsid w:val="278F0E5E"/>
    <w:rsid w:val="289F315B"/>
    <w:rsid w:val="28D0604B"/>
    <w:rsid w:val="2AB92AF5"/>
    <w:rsid w:val="2ACD0453"/>
    <w:rsid w:val="2C864D5D"/>
    <w:rsid w:val="2C9946DB"/>
    <w:rsid w:val="2CA67438"/>
    <w:rsid w:val="2CFF241A"/>
    <w:rsid w:val="2D2325AC"/>
    <w:rsid w:val="2D2F779D"/>
    <w:rsid w:val="2FE54245"/>
    <w:rsid w:val="30550CCF"/>
    <w:rsid w:val="3155096C"/>
    <w:rsid w:val="31D67BED"/>
    <w:rsid w:val="32510CA3"/>
    <w:rsid w:val="3293788C"/>
    <w:rsid w:val="32A530C3"/>
    <w:rsid w:val="335A1D71"/>
    <w:rsid w:val="354F2DD5"/>
    <w:rsid w:val="35E13004"/>
    <w:rsid w:val="36783969"/>
    <w:rsid w:val="36B22D87"/>
    <w:rsid w:val="375A6BCB"/>
    <w:rsid w:val="38353194"/>
    <w:rsid w:val="3882287D"/>
    <w:rsid w:val="388F0AF6"/>
    <w:rsid w:val="3A667F7C"/>
    <w:rsid w:val="3A6F5EF1"/>
    <w:rsid w:val="3A7149CC"/>
    <w:rsid w:val="3A9240FF"/>
    <w:rsid w:val="3AB31D65"/>
    <w:rsid w:val="3BD73D62"/>
    <w:rsid w:val="3BEB0739"/>
    <w:rsid w:val="3C3E03A3"/>
    <w:rsid w:val="3CE41DAC"/>
    <w:rsid w:val="3CE97620"/>
    <w:rsid w:val="3D772A37"/>
    <w:rsid w:val="3D8175A7"/>
    <w:rsid w:val="3DC92FCE"/>
    <w:rsid w:val="3E5500EC"/>
    <w:rsid w:val="3E934BC1"/>
    <w:rsid w:val="3EA03A5D"/>
    <w:rsid w:val="3F367F1D"/>
    <w:rsid w:val="3FF552BF"/>
    <w:rsid w:val="40721429"/>
    <w:rsid w:val="414508EB"/>
    <w:rsid w:val="42697B54"/>
    <w:rsid w:val="426D5D1D"/>
    <w:rsid w:val="42CB6BCE"/>
    <w:rsid w:val="439671DC"/>
    <w:rsid w:val="43D2457E"/>
    <w:rsid w:val="449D4729"/>
    <w:rsid w:val="452B1519"/>
    <w:rsid w:val="454B1DEB"/>
    <w:rsid w:val="45927E77"/>
    <w:rsid w:val="472D60AA"/>
    <w:rsid w:val="486A6E89"/>
    <w:rsid w:val="48934632"/>
    <w:rsid w:val="48B85E47"/>
    <w:rsid w:val="4A370FED"/>
    <w:rsid w:val="4BB91051"/>
    <w:rsid w:val="4BDA418E"/>
    <w:rsid w:val="4BF2341E"/>
    <w:rsid w:val="4C4F0C97"/>
    <w:rsid w:val="4C7B3DFC"/>
    <w:rsid w:val="4D403526"/>
    <w:rsid w:val="4E1753BE"/>
    <w:rsid w:val="4E40453B"/>
    <w:rsid w:val="4EB33338"/>
    <w:rsid w:val="4ECC43FA"/>
    <w:rsid w:val="4EF179BD"/>
    <w:rsid w:val="4F626B0C"/>
    <w:rsid w:val="500C2A05"/>
    <w:rsid w:val="50131B41"/>
    <w:rsid w:val="50A52454"/>
    <w:rsid w:val="50ED2406"/>
    <w:rsid w:val="51134562"/>
    <w:rsid w:val="51801046"/>
    <w:rsid w:val="51DF2696"/>
    <w:rsid w:val="52212DFE"/>
    <w:rsid w:val="52D970E6"/>
    <w:rsid w:val="538E5D9A"/>
    <w:rsid w:val="5402266C"/>
    <w:rsid w:val="553920BD"/>
    <w:rsid w:val="56620606"/>
    <w:rsid w:val="57DE6F4C"/>
    <w:rsid w:val="59511312"/>
    <w:rsid w:val="5A764921"/>
    <w:rsid w:val="5A9B522E"/>
    <w:rsid w:val="5AF34ABD"/>
    <w:rsid w:val="5B0A24EF"/>
    <w:rsid w:val="5BE663CF"/>
    <w:rsid w:val="5C25339C"/>
    <w:rsid w:val="5C4731BB"/>
    <w:rsid w:val="5C545A2F"/>
    <w:rsid w:val="5C7349C4"/>
    <w:rsid w:val="5CFA0E67"/>
    <w:rsid w:val="5D483164"/>
    <w:rsid w:val="5DE31843"/>
    <w:rsid w:val="5F103E8F"/>
    <w:rsid w:val="5F230066"/>
    <w:rsid w:val="5FEC48FC"/>
    <w:rsid w:val="607E304A"/>
    <w:rsid w:val="60B53DB7"/>
    <w:rsid w:val="60E3786E"/>
    <w:rsid w:val="624D0825"/>
    <w:rsid w:val="6263077A"/>
    <w:rsid w:val="6314473B"/>
    <w:rsid w:val="63256689"/>
    <w:rsid w:val="635E7280"/>
    <w:rsid w:val="63690012"/>
    <w:rsid w:val="63707479"/>
    <w:rsid w:val="63A22262"/>
    <w:rsid w:val="641937E6"/>
    <w:rsid w:val="6481138B"/>
    <w:rsid w:val="648B3FB8"/>
    <w:rsid w:val="651E623F"/>
    <w:rsid w:val="67534A49"/>
    <w:rsid w:val="684B418A"/>
    <w:rsid w:val="68907DEF"/>
    <w:rsid w:val="68E569E2"/>
    <w:rsid w:val="6BD91AAD"/>
    <w:rsid w:val="6D1A3B54"/>
    <w:rsid w:val="6E0732BA"/>
    <w:rsid w:val="6FFB6245"/>
    <w:rsid w:val="705574B6"/>
    <w:rsid w:val="70621441"/>
    <w:rsid w:val="71245578"/>
    <w:rsid w:val="714D31A3"/>
    <w:rsid w:val="721775DF"/>
    <w:rsid w:val="72EA439B"/>
    <w:rsid w:val="73467A28"/>
    <w:rsid w:val="736B3932"/>
    <w:rsid w:val="73734141"/>
    <w:rsid w:val="73B01345"/>
    <w:rsid w:val="74C2787E"/>
    <w:rsid w:val="7625426C"/>
    <w:rsid w:val="766F7295"/>
    <w:rsid w:val="767331F8"/>
    <w:rsid w:val="7715608F"/>
    <w:rsid w:val="77CE623E"/>
    <w:rsid w:val="78170157"/>
    <w:rsid w:val="795D1F6F"/>
    <w:rsid w:val="7AD044D2"/>
    <w:rsid w:val="7C6B6751"/>
    <w:rsid w:val="7CB65D44"/>
    <w:rsid w:val="7CE7227B"/>
    <w:rsid w:val="7DBB1012"/>
    <w:rsid w:val="7F203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ind w:firstLine="640" w:firstLineChars="200"/>
    </w:pPr>
    <w:rPr>
      <w:rFonts w:ascii="仿宋_GB2312" w:eastAsia="仿宋_GB2312" w:hAnsiTheme="minorHAnsi" w:cstheme="minorBidi"/>
      <w:sz w:val="32"/>
      <w:szCs w:val="3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200"/>
    </w:pPr>
    <w:rPr>
      <w:rFonts w:ascii="??" w:hAnsi="??" w:eastAsia="宋体" w:cs="Times New Roman"/>
      <w:sz w:val="28"/>
      <w:szCs w:val="24"/>
    </w:rPr>
  </w:style>
  <w:style w:type="paragraph" w:styleId="3">
    <w:name w:val="annotation text"/>
    <w:basedOn w:val="1"/>
    <w:link w:val="15"/>
    <w:autoRedefine/>
    <w:unhideWhenUsed/>
    <w:qFormat/>
    <w:uiPriority w:val="0"/>
  </w:style>
  <w:style w:type="paragraph" w:styleId="4">
    <w:name w:val="Body Text"/>
    <w:basedOn w:val="1"/>
    <w:unhideWhenUsed/>
    <w:qFormat/>
    <w:uiPriority w:val="0"/>
  </w:style>
  <w:style w:type="paragraph" w:styleId="5">
    <w:name w:val="Balloon Text"/>
    <w:basedOn w:val="1"/>
    <w:link w:val="14"/>
    <w:autoRedefine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3"/>
    <w:next w:val="3"/>
    <w:link w:val="16"/>
    <w:autoRedefine/>
    <w:semiHidden/>
    <w:unhideWhenUsed/>
    <w:qFormat/>
    <w:uiPriority w:val="99"/>
    <w:rPr>
      <w:b/>
      <w:bCs/>
    </w:rPr>
  </w:style>
  <w:style w:type="character" w:styleId="11">
    <w:name w:val="annotation reference"/>
    <w:basedOn w:val="10"/>
    <w:autoRedefine/>
    <w:semiHidden/>
    <w:unhideWhenUsed/>
    <w:qFormat/>
    <w:uiPriority w:val="0"/>
    <w:rPr>
      <w:sz w:val="21"/>
      <w:szCs w:val="21"/>
    </w:rPr>
  </w:style>
  <w:style w:type="character" w:customStyle="1" w:styleId="12">
    <w:name w:val="页眉 字符"/>
    <w:basedOn w:val="10"/>
    <w:link w:val="7"/>
    <w:autoRedefine/>
    <w:qFormat/>
    <w:uiPriority w:val="99"/>
    <w:rPr>
      <w:sz w:val="18"/>
      <w:szCs w:val="18"/>
    </w:rPr>
  </w:style>
  <w:style w:type="character" w:customStyle="1" w:styleId="13">
    <w:name w:val="页脚 字符"/>
    <w:basedOn w:val="10"/>
    <w:link w:val="6"/>
    <w:autoRedefine/>
    <w:qFormat/>
    <w:uiPriority w:val="99"/>
    <w:rPr>
      <w:sz w:val="18"/>
      <w:szCs w:val="18"/>
    </w:rPr>
  </w:style>
  <w:style w:type="character" w:customStyle="1" w:styleId="14">
    <w:name w:val="批注框文本 字符"/>
    <w:basedOn w:val="10"/>
    <w:link w:val="5"/>
    <w:autoRedefine/>
    <w:semiHidden/>
    <w:qFormat/>
    <w:uiPriority w:val="99"/>
    <w:rPr>
      <w:sz w:val="18"/>
      <w:szCs w:val="18"/>
    </w:rPr>
  </w:style>
  <w:style w:type="character" w:customStyle="1" w:styleId="15">
    <w:name w:val="批注文字 字符"/>
    <w:basedOn w:val="10"/>
    <w:link w:val="3"/>
    <w:autoRedefine/>
    <w:qFormat/>
    <w:uiPriority w:val="0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16">
    <w:name w:val="批注主题 字符"/>
    <w:basedOn w:val="15"/>
    <w:link w:val="8"/>
    <w:autoRedefine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paragraph" w:styleId="17">
    <w:name w:val="List Paragraph"/>
    <w:basedOn w:val="1"/>
    <w:autoRedefine/>
    <w:qFormat/>
    <w:uiPriority w:val="99"/>
    <w:pPr>
      <w:ind w:firstLine="420"/>
    </w:pPr>
  </w:style>
  <w:style w:type="paragraph" w:customStyle="1" w:styleId="18">
    <w:name w:val="修订1"/>
    <w:autoRedefine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zhlx</Company>
  <Pages>14</Pages>
  <Words>5592</Words>
  <Characters>6359</Characters>
  <Lines>38</Lines>
  <Paragraphs>10</Paragraphs>
  <TotalTime>90</TotalTime>
  <ScaleCrop>false</ScaleCrop>
  <LinksUpToDate>false</LinksUpToDate>
  <CharactersWithSpaces>6366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2019-11-15T08:07:00Z</dcterms:created>
  <dc:creator>lqb</dc:creator>
  <cp:lastModifiedBy>userName</cp:lastModifiedBy>
  <cp:lastPrinted>2019-01-07T10:48:00Z</cp:lastPrinted>
  <dcterms:modified xsi:type="dcterms:W3CDTF">2025-02-19T06:20:45Z</dcterms:modified>
  <cp:revision>188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D74B0316A60B44919568966950F9D398_13</vt:lpwstr>
  </property>
  <property fmtid="{D5CDD505-2E9C-101B-9397-08002B2CF9AE}" pid="4" name="KSOTemplateDocerSaveRecord">
    <vt:lpwstr>eyJoZGlkIjoiZjM0NjAxYjM1M2NjMmEwODRmMjZhMmJhMGY5NDNhYmMiLCJ1c2VySWQiOiIxNjY0NzQ3NDAwIn0=</vt:lpwstr>
  </property>
</Properties>
</file>