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E9D14"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spacing w:val="-6"/>
          <w:sz w:val="28"/>
          <w:szCs w:val="28"/>
          <w:highlight w:val="yellow"/>
        </w:rPr>
      </w:pPr>
      <w:r>
        <w:rPr>
          <w:rFonts w:hint="eastAsia" w:ascii="宋体" w:hAnsi="宋体" w:eastAsia="宋体"/>
          <w:b/>
          <w:bCs/>
          <w:spacing w:val="-6"/>
          <w:sz w:val="28"/>
          <w:szCs w:val="28"/>
          <w:highlight w:val="none"/>
        </w:rPr>
        <w:t>附件：综合评审标准</w:t>
      </w:r>
    </w:p>
    <w:tbl>
      <w:tblPr>
        <w:tblStyle w:val="4"/>
        <w:tblW w:w="99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748"/>
      </w:tblGrid>
      <w:tr w14:paraId="542A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0C6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BD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78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评分标准</w:t>
            </w:r>
          </w:p>
        </w:tc>
      </w:tr>
      <w:tr w14:paraId="1B1D7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AE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F6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D12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0。</w:t>
            </w:r>
          </w:p>
        </w:tc>
      </w:tr>
      <w:tr w14:paraId="23F7B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77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87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30分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67F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21-30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437A9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11-20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32429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2E382F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无项目实施方案的得0分。</w:t>
            </w:r>
          </w:p>
        </w:tc>
      </w:tr>
      <w:tr w14:paraId="35911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5F7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工期承诺及保证措施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29D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7B3C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（1）工期承诺满足磋商文件要求且保证措施详细可行，且有具体的违约责任承诺和施工进度计划，针对性强，并能保证工期的得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分；</w:t>
            </w:r>
          </w:p>
          <w:p w14:paraId="777CF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（2）工期承诺满足磋商文件要求且保证措施可行，且有违约责任承诺和施工进度计划，针对性一般，并能保证工期的得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分；</w:t>
            </w:r>
          </w:p>
          <w:p w14:paraId="52DD9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（3）工期承诺及保证措施满足竞争性磋商文件要求，针对性差，或有错误（如：与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工期相矛盾等）或有缺项的得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分；</w:t>
            </w:r>
          </w:p>
          <w:p w14:paraId="6BA81E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eastAsia="等线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（4） 无工期承诺及保证措施的不得分。</w:t>
            </w:r>
          </w:p>
        </w:tc>
      </w:tr>
      <w:tr w14:paraId="1DA87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02C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质量承诺及保证措施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87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D8C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3E18E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5346C0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 w14:paraId="1D60D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 w14:paraId="25865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617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安全文明施工保证措施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5F8E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474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1.安全文明施工保证措施（满分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分）</w:t>
            </w:r>
          </w:p>
          <w:p w14:paraId="24F509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供应商针对本项目提供完善的安全文明施工保证措施，措施内容包含但不限于①防火、②安全用电、③材料堆放、④垃圾清运、⑤场容场貌，⑥安全警示、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⑦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防尘降噪等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项内容，</w:t>
            </w:r>
          </w:p>
          <w:p w14:paraId="03A10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上述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项内容，每项内容1分。</w:t>
            </w:r>
          </w:p>
          <w:p w14:paraId="21499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（1）措施科学、合理、详细且有针对性的，每项得1分。</w:t>
            </w:r>
          </w:p>
          <w:p w14:paraId="2D55C1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（2）措施科学性、合理性、针对性有欠缺，不全面的，每项得0.5分。</w:t>
            </w:r>
          </w:p>
          <w:p w14:paraId="79E360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（3）未提供或提供内容存在重大偏差或与本项目不符的每项得0分。</w:t>
            </w:r>
          </w:p>
          <w:p w14:paraId="5DFA4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2.违约责任承诺（满分3分）</w:t>
            </w:r>
          </w:p>
          <w:p w14:paraId="7D6100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违约责任承诺详细全面、合理具体的得3分；违约责任承诺基本全面，较合理具体的得2分；违约责任承诺粗略宽泛、缺乏合理性或不够具体的得1分；无相关违约责任的得0分。</w:t>
            </w:r>
          </w:p>
        </w:tc>
      </w:tr>
      <w:tr w14:paraId="2EB77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FC4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服务方案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BB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C27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2B3AE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7D2EE2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 w14:paraId="2858C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 w14:paraId="3C285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527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E7E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69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类似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</w:tc>
      </w:tr>
    </w:tbl>
    <w:p w14:paraId="1A9FDA71"/>
    <w:p w14:paraId="18AFD9C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00000000"/>
    <w:rsid w:val="57010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styleId="3">
    <w:name w:val="Title"/>
    <w:basedOn w:val="1"/>
    <w:next w:val="1"/>
    <w:qFormat/>
    <w:uiPriority w:val="0"/>
    <w:pPr>
      <w:widowControl/>
      <w:spacing w:after="240" w:line="360" w:lineRule="auto"/>
      <w:jc w:val="center"/>
    </w:pPr>
    <w:rPr>
      <w:rFonts w:ascii="Arial" w:hAnsi="Arial"/>
      <w:b/>
      <w:smallCaps/>
      <w:kern w:val="28"/>
      <w:sz w:val="36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2025-06-16T10:02:39Z</dcterms:created>
  <dc:creator>Lenovo</dc:creator>
  <cp:lastModifiedBy>陈静</cp:lastModifiedBy>
  <dcterms:modified xsi:type="dcterms:W3CDTF">2025-06-16T10:02:47Z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324F9BFE94EA43AF9FE6A86852EE5399_12</vt:lpwstr>
  </property>
</Properties>
</file>