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E9D14">
      <w:pPr>
        <w:spacing w:line="460" w:lineRule="exact"/>
        <w:ind w:firstLine="538" w:firstLineChars="200"/>
        <w:jc w:val="left"/>
        <w:outlineLvl w:val="0"/>
        <w:rPr>
          <w:rFonts w:ascii="宋体" w:hAnsi="宋体" w:eastAsia="宋体"/>
          <w:b/>
          <w:bCs/>
          <w:spacing w:val="-6"/>
          <w:sz w:val="28"/>
          <w:szCs w:val="28"/>
          <w:highlight w:val="yellow"/>
        </w:rPr>
      </w:pPr>
      <w:bookmarkStart w:id="0" w:name="OLE_LINK5"/>
      <w:r>
        <w:rPr>
          <w:rFonts w:hint="eastAsia" w:ascii="宋体" w:hAnsi="宋体" w:eastAsia="宋体"/>
          <w:b/>
          <w:bCs/>
          <w:spacing w:val="-6"/>
          <w:sz w:val="28"/>
          <w:szCs w:val="28"/>
          <w:highlight w:val="none"/>
        </w:rPr>
        <w:t>附件：综合评审标准</w:t>
      </w:r>
      <w:bookmarkStart w:id="1" w:name="_GoBack"/>
      <w:bookmarkEnd w:id="1"/>
    </w:p>
    <w:tbl>
      <w:tblPr>
        <w:tblStyle w:val="4"/>
        <w:tblW w:w="98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6"/>
        <w:gridCol w:w="853"/>
        <w:gridCol w:w="7573"/>
      </w:tblGrid>
      <w:tr w14:paraId="542A6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0C6E4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评分内容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BDEF2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分值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78A6B">
            <w:pPr>
              <w:spacing w:line="320" w:lineRule="exact"/>
              <w:jc w:val="center"/>
              <w:rPr>
                <w:rFonts w:asciiTheme="minorEastAsia" w:hAnsiTheme="minorEastAsia"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/>
                <w:sz w:val="24"/>
                <w:szCs w:val="24"/>
              </w:rPr>
              <w:t>评分标准</w:t>
            </w:r>
          </w:p>
        </w:tc>
      </w:tr>
      <w:tr w14:paraId="1B1D7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AEEFF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报价评审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4F643F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30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D12B6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满足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比选</w:t>
            </w:r>
            <w:r>
              <w:rPr>
                <w:rFonts w:hint="eastAsia" w:asciiTheme="minorEastAsia" w:hAnsiTheme="minorEastAsia" w:eastAsiaTheme="minorEastAsia"/>
                <w:bCs/>
                <w:color w:val="auto"/>
                <w:sz w:val="24"/>
                <w:szCs w:val="24"/>
                <w:highlight w:val="none"/>
              </w:rPr>
              <w:t>文件要求且投标价格最低的投标报价为评标基准价。其价格得分为满分。其他投标人的投标报价得分＝（评标基准价/该投标人的投标报价）×30。</w:t>
            </w:r>
          </w:p>
        </w:tc>
      </w:tr>
      <w:tr w14:paraId="23F7B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77D80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供货及安装方案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987E13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30分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D3857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1.供货方案（满分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分）</w:t>
            </w:r>
          </w:p>
          <w:p w14:paraId="77267F16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供货方案详细，内容全面、具体，针对性强，能够很好的满足项目需求的得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11-15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437A9BD7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供货方案内容完整，有一定的针对性，基本能满足项目需求的得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6-10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324294BD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供货方案内容缺漏或针对性不足或不能满足项目需求的得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17E218E9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无供货方案的得0分。</w:t>
            </w:r>
          </w:p>
          <w:p w14:paraId="7592F732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2.安装调试方案（满分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  <w:lang w:val="en-US" w:eastAsia="zh-CN"/>
              </w:rPr>
              <w:t>15</w:t>
            </w:r>
            <w:r>
              <w:rPr>
                <w:rFonts w:hint="eastAsia" w:asciiTheme="minorEastAsia" w:hAnsiTheme="minorEastAsia" w:eastAsiaTheme="minorEastAsia"/>
                <w:b/>
                <w:bCs w:val="0"/>
                <w:sz w:val="24"/>
                <w:szCs w:val="24"/>
              </w:rPr>
              <w:t>分）</w:t>
            </w:r>
          </w:p>
          <w:p w14:paraId="10DD9EEF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安装调试方案详细，安装部署细节描述清晰，实现效果细节具体、可行、针对性强，完全满足采购人项目实施需求的得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11-15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7A7AB0AF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安装调试方案内容完整，安装部署细节描述一般，实现效果细节有一定可行性和针对性，可以满足采购人项目实施需求的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得6-10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分；</w:t>
            </w:r>
          </w:p>
          <w:p w14:paraId="57D3ADB6">
            <w:pPr>
              <w:spacing w:line="320" w:lineRule="exact"/>
              <w:jc w:val="left"/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安装调试方案内容基本完整，安装部署细节描述不清晰，实现效果细节不具体、不具有可行性和针对性，无法满足采购人项目实施需求的得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  <w:p w14:paraId="2E382FF7">
            <w:pPr>
              <w:spacing w:line="320" w:lineRule="exact"/>
              <w:jc w:val="left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未提供安装调试方案的得0分</w:t>
            </w:r>
          </w:p>
        </w:tc>
      </w:tr>
      <w:tr w14:paraId="35911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35F70B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技术参数响应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29DCF">
            <w:pPr>
              <w:spacing w:line="320" w:lineRule="exact"/>
              <w:jc w:val="center"/>
              <w:rPr>
                <w:rFonts w:hint="default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17分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A81EBD">
            <w:pPr>
              <w:spacing w:line="320" w:lineRule="exact"/>
              <w:jc w:val="left"/>
              <w:rPr>
                <w:rFonts w:hint="eastAsia" w:eastAsia="等线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技术参数共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17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条，完全满足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文件要求的得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17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分，产品每出现一项技术参数不满足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比选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文件要求的扣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eastAsia="zh-CN"/>
              </w:rPr>
              <w:t>。</w:t>
            </w:r>
          </w:p>
        </w:tc>
      </w:tr>
      <w:tr w14:paraId="1DA87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502C44"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质量承诺及保障措施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87EFC">
            <w:pPr>
              <w:spacing w:line="320" w:lineRule="exact"/>
              <w:jc w:val="center"/>
              <w:rPr>
                <w:rFonts w:cs="宋体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</w:t>
            </w:r>
            <w:r>
              <w:rPr>
                <w:rFonts w:hint="eastAsia" w:cs="宋体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D8CED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6-8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3E18ED66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承诺和保证措施内容基本完整、具有一定针对性，保证措施、惩罚措施保障力度不强、可操作性一般的得3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-5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5346C084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质量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承诺和保证措施不完整、内容宽泛有缺漏，保证措施、惩罚措施、无操作性的得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1-2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 w14:paraId="1D60D3B2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 w14:paraId="2EB77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BFC4E8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BB036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10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CC2757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1.针对本项目实际情况制定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，内容详尽、具有针对性，保证措施合理、惩罚措施明确合理、具有操作性的得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8-10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2B3AE7B0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内容基本完整、具有一定针对性，保证措施、惩罚措施保障力度不强、可操作性一般的得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4-7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分；</w:t>
            </w:r>
          </w:p>
          <w:p w14:paraId="7D2EE2CA">
            <w:pPr>
              <w:spacing w:line="320" w:lineRule="exact"/>
              <w:jc w:val="left"/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3.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售后方案及违约承诺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不完整、内容宽泛有缺漏，保证措施、惩罚措施、无操作性的得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1-3</w:t>
            </w: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分。</w:t>
            </w:r>
          </w:p>
          <w:p w14:paraId="2858C6D7"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default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4.未提供服务质量承诺及保证措施的不得分。</w:t>
            </w:r>
          </w:p>
        </w:tc>
      </w:tr>
      <w:tr w14:paraId="3C285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752762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业绩</w:t>
            </w:r>
          </w:p>
        </w:tc>
        <w:tc>
          <w:tcPr>
            <w:tcW w:w="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E7E70">
            <w:pPr>
              <w:spacing w:line="320" w:lineRule="exact"/>
              <w:jc w:val="center"/>
              <w:rPr>
                <w:rFonts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/>
                <w:bCs/>
                <w:sz w:val="24"/>
                <w:szCs w:val="24"/>
              </w:rPr>
              <w:t>分</w:t>
            </w:r>
          </w:p>
        </w:tc>
        <w:tc>
          <w:tcPr>
            <w:tcW w:w="7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069DA7">
            <w:pPr>
              <w:spacing w:line="320" w:lineRule="exact"/>
              <w:jc w:val="left"/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</w:pP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比选申请人202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年至今每承担过一个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类似护眼灯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项目得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分，最多得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cs="Times New Roman" w:asciiTheme="minorEastAsia" w:hAnsiTheme="minorEastAsia" w:eastAsiaTheme="minorEastAsia"/>
                <w:bCs/>
                <w:sz w:val="24"/>
                <w:szCs w:val="24"/>
              </w:rPr>
              <w:t>分。</w:t>
            </w:r>
          </w:p>
        </w:tc>
      </w:tr>
      <w:bookmarkEnd w:id="0"/>
    </w:tbl>
    <w:p w14:paraId="595A5AEB"/>
    <w:p w14:paraId="3AA4CD1B"/>
    <w:sectPr>
      <w:pgSz w:w="11906" w:h="16838"/>
      <w:pgMar w:top="1440" w:right="1253" w:bottom="1440" w:left="125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CC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g1MDgzYzI2ZDM2MzkxMWNiYzlmNzM5MDg4MzMwN2QifQ=="/>
  </w:docVars>
  <w:rsids>
    <w:rsidRoot w:val="00000000"/>
    <w:rsid w:val="42B03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3"/>
    <w:qFormat/>
    <w:uiPriority w:val="0"/>
    <w:pPr>
      <w:widowControl w:val="0"/>
      <w:autoSpaceDE w:val="0"/>
      <w:autoSpaceDN w:val="0"/>
      <w:adjustRightInd w:val="0"/>
    </w:pPr>
    <w:rPr>
      <w:rFonts w:ascii="宋体" w:cs="宋体"/>
      <w:color w:val="000000"/>
      <w:sz w:val="24"/>
      <w:szCs w:val="24"/>
      <w:lang w:val="en-US" w:eastAsia="zh-CN" w:bidi="ar-SA"/>
    </w:rPr>
  </w:style>
  <w:style w:type="paragraph" w:styleId="3">
    <w:name w:val="Title"/>
    <w:basedOn w:val="1"/>
    <w:next w:val="1"/>
    <w:qFormat/>
    <w:uiPriority w:val="0"/>
    <w:pPr>
      <w:widowControl/>
      <w:spacing w:after="240" w:line="360" w:lineRule="auto"/>
      <w:jc w:val="center"/>
    </w:pPr>
    <w:rPr>
      <w:rFonts w:ascii="Arial" w:hAnsi="Arial"/>
      <w:b/>
      <w:smallCaps/>
      <w:kern w:val="28"/>
      <w:sz w:val="36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2025-06-16T10:03:52Z</dcterms:created>
  <dc:creator>Lenovo</dc:creator>
  <cp:lastModifiedBy>陈静</cp:lastModifiedBy>
  <dcterms:modified xsi:type="dcterms:W3CDTF">2025-06-16T10:04:10Z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36F1FEE0916D4565BA4E1E23413020EC_12</vt:lpwstr>
  </property>
</Properties>
</file>