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74C17">
      <w:pPr>
        <w:jc w:val="center"/>
        <w:outlineLvl w:val="0"/>
        <w:rPr>
          <w:rFonts w:hint="eastAsia" w:ascii="方正小标宋简体" w:hAnsi="方正小标宋简体" w:eastAsia="方正小标宋简体" w:cs="方正小标宋简体"/>
          <w:sz w:val="36"/>
          <w:szCs w:val="36"/>
          <w:highlight w:val="none"/>
        </w:rPr>
      </w:pPr>
      <w:bookmarkStart w:id="1" w:name="_GoBack"/>
      <w:bookmarkEnd w:id="1"/>
      <w:r>
        <w:rPr>
          <w:rFonts w:hint="eastAsia" w:ascii="方正小标宋简体" w:hAnsi="方正小标宋简体" w:eastAsia="方正小标宋简体"/>
          <w:sz w:val="36"/>
          <w:lang w:val="zh-CN"/>
        </w:rPr>
        <w:t>云南师范大学附属世纪金源学校</w:t>
      </w:r>
      <w:r>
        <w:rPr>
          <w:rFonts w:hint="eastAsia" w:ascii="方正小标宋简体" w:hAnsi="方正小标宋简体" w:eastAsia="方正小标宋简体" w:cs="方正小标宋简体"/>
          <w:sz w:val="36"/>
          <w:szCs w:val="36"/>
          <w:highlight w:val="none"/>
          <w:lang w:val="en-US" w:eastAsia="zh-CN"/>
        </w:rPr>
        <w:t>2024</w:t>
      </w:r>
      <w:r>
        <w:rPr>
          <w:rFonts w:hint="eastAsia" w:ascii="方正小标宋简体" w:hAnsi="方正小标宋简体" w:eastAsia="方正小标宋简体" w:cs="方正小标宋简体"/>
          <w:sz w:val="36"/>
          <w:szCs w:val="36"/>
          <w:highlight w:val="none"/>
        </w:rPr>
        <w:t>年度部门决算</w:t>
      </w:r>
    </w:p>
    <w:p w14:paraId="2486D4EC">
      <w:pPr>
        <w:jc w:val="center"/>
        <w:rPr>
          <w:rFonts w:hint="eastAsia" w:ascii="方正小标宋简体" w:hAnsi="方正小标宋简体" w:eastAsia="方正小标宋简体" w:cs="方正小标宋简体"/>
          <w:sz w:val="36"/>
          <w:szCs w:val="36"/>
          <w:highlight w:val="none"/>
        </w:rPr>
      </w:pPr>
    </w:p>
    <w:p w14:paraId="0A4C73F2">
      <w:pPr>
        <w:jc w:val="center"/>
        <w:outlineLvl w:val="0"/>
        <w:rPr>
          <w:rFonts w:hint="eastAsia" w:ascii="方正小标宋简体" w:hAnsi="方正小标宋简体" w:eastAsia="方正小标宋简体" w:cs="方正小标宋简体"/>
          <w:sz w:val="36"/>
          <w:szCs w:val="36"/>
          <w:highlight w:val="none"/>
          <w:lang w:eastAsia="zh-CN"/>
        </w:rPr>
      </w:pPr>
      <w:r>
        <w:rPr>
          <w:rFonts w:hint="eastAsia" w:ascii="方正小标宋简体" w:hAnsi="方正小标宋简体" w:eastAsia="方正小标宋简体" w:cs="方正小标宋简体"/>
          <w:sz w:val="36"/>
          <w:szCs w:val="36"/>
          <w:highlight w:val="none"/>
          <w:lang w:eastAsia="zh-CN"/>
        </w:rPr>
        <w:t>目录</w:t>
      </w:r>
    </w:p>
    <w:p w14:paraId="192D38FE">
      <w:pPr>
        <w:jc w:val="left"/>
        <w:rPr>
          <w:rFonts w:hint="eastAsia" w:ascii="黑体" w:hAnsi="黑体" w:eastAsia="黑体"/>
          <w:sz w:val="30"/>
          <w:szCs w:val="30"/>
          <w:highlight w:val="none"/>
        </w:rPr>
      </w:pPr>
    </w:p>
    <w:p w14:paraId="7CA8587C">
      <w:pPr>
        <w:jc w:val="left"/>
        <w:outlineLvl w:val="0"/>
        <w:rPr>
          <w:rFonts w:hint="eastAsia" w:ascii="黑体" w:hAnsi="黑体" w:eastAsia="黑体"/>
          <w:sz w:val="30"/>
          <w:szCs w:val="30"/>
          <w:highlight w:val="none"/>
        </w:rPr>
      </w:pPr>
      <w:r>
        <w:rPr>
          <w:rFonts w:hint="eastAsia" w:ascii="黑体" w:hAnsi="黑体" w:eastAsia="黑体"/>
          <w:sz w:val="30"/>
          <w:szCs w:val="30"/>
          <w:highlight w:val="none"/>
        </w:rPr>
        <w:t xml:space="preserve">第一部分  </w:t>
      </w:r>
      <w:r>
        <w:rPr>
          <w:rFonts w:hint="eastAsia" w:ascii="黑体" w:hAnsi="黑体" w:eastAsia="黑体"/>
          <w:sz w:val="30"/>
          <w:szCs w:val="30"/>
          <w:highlight w:val="none"/>
          <w:lang w:eastAsia="zh-CN"/>
        </w:rPr>
        <w:t>单位</w:t>
      </w:r>
      <w:r>
        <w:rPr>
          <w:rFonts w:hint="eastAsia" w:ascii="黑体" w:hAnsi="黑体" w:eastAsia="黑体"/>
          <w:sz w:val="30"/>
          <w:szCs w:val="30"/>
          <w:highlight w:val="none"/>
        </w:rPr>
        <w:t>概况</w:t>
      </w:r>
    </w:p>
    <w:p w14:paraId="465B6C89">
      <w:pPr>
        <w:spacing w:line="240" w:lineRule="atLeast"/>
        <w:jc w:val="left"/>
        <w:outlineLvl w:val="1"/>
        <w:rPr>
          <w:rFonts w:hint="eastAsia" w:ascii="楷体" w:hAnsi="楷体" w:eastAsia="楷体"/>
          <w:sz w:val="30"/>
          <w:szCs w:val="30"/>
          <w:highlight w:val="none"/>
          <w:lang w:eastAsia="zh-CN"/>
        </w:rPr>
      </w:pPr>
      <w:r>
        <w:rPr>
          <w:rFonts w:hint="eastAsia" w:ascii="楷体" w:hAnsi="楷体" w:eastAsia="楷体"/>
          <w:sz w:val="30"/>
          <w:szCs w:val="30"/>
          <w:highlight w:val="none"/>
        </w:rPr>
        <w:t>一、主要职</w:t>
      </w:r>
      <w:r>
        <w:rPr>
          <w:rFonts w:hint="eastAsia" w:ascii="楷体" w:hAnsi="楷体" w:eastAsia="楷体"/>
          <w:sz w:val="30"/>
          <w:szCs w:val="30"/>
          <w:highlight w:val="none"/>
          <w:lang w:eastAsia="zh-CN"/>
        </w:rPr>
        <w:t>责</w:t>
      </w:r>
    </w:p>
    <w:p w14:paraId="7E86D462">
      <w:pPr>
        <w:spacing w:line="240" w:lineRule="atLeast"/>
        <w:jc w:val="left"/>
        <w:outlineLvl w:val="1"/>
        <w:rPr>
          <w:rFonts w:hint="eastAsia" w:ascii="楷体" w:hAnsi="楷体" w:eastAsia="楷体"/>
          <w:sz w:val="30"/>
          <w:szCs w:val="30"/>
          <w:highlight w:val="none"/>
          <w:lang w:eastAsia="zh-CN"/>
        </w:rPr>
      </w:pPr>
      <w:r>
        <w:rPr>
          <w:rFonts w:hint="eastAsia" w:ascii="楷体" w:hAnsi="楷体" w:eastAsia="楷体"/>
          <w:sz w:val="30"/>
          <w:szCs w:val="30"/>
          <w:highlight w:val="none"/>
        </w:rPr>
        <w:t>二、</w:t>
      </w:r>
      <w:r>
        <w:rPr>
          <w:rFonts w:hint="eastAsia" w:ascii="楷体" w:hAnsi="楷体" w:eastAsia="楷体"/>
          <w:sz w:val="30"/>
          <w:szCs w:val="30"/>
          <w:highlight w:val="none"/>
          <w:lang w:eastAsia="zh-CN"/>
        </w:rPr>
        <w:t>基本情况</w:t>
      </w:r>
    </w:p>
    <w:p w14:paraId="51C73790">
      <w:pPr>
        <w:spacing w:line="240" w:lineRule="atLeast"/>
        <w:jc w:val="left"/>
        <w:outlineLvl w:val="1"/>
        <w:rPr>
          <w:rFonts w:hint="eastAsia" w:ascii="楷体" w:hAnsi="楷体" w:eastAsia="楷体"/>
          <w:sz w:val="30"/>
          <w:szCs w:val="30"/>
          <w:highlight w:val="none"/>
          <w:lang w:eastAsia="zh-CN"/>
        </w:rPr>
      </w:pPr>
      <w:r>
        <w:rPr>
          <w:rFonts w:hint="eastAsia" w:ascii="楷体" w:hAnsi="楷体" w:eastAsia="楷体"/>
          <w:sz w:val="30"/>
          <w:szCs w:val="30"/>
          <w:highlight w:val="none"/>
          <w:lang w:eastAsia="zh-CN"/>
        </w:rPr>
        <w:t>三、重点工作概述</w:t>
      </w:r>
    </w:p>
    <w:p w14:paraId="0B6F7A6F">
      <w:pPr>
        <w:jc w:val="left"/>
        <w:outlineLvl w:val="0"/>
        <w:rPr>
          <w:rFonts w:hint="eastAsia" w:ascii="黑体" w:hAnsi="黑体" w:eastAsia="黑体"/>
          <w:sz w:val="30"/>
          <w:szCs w:val="30"/>
          <w:highlight w:val="none"/>
        </w:rPr>
      </w:pPr>
      <w:r>
        <w:rPr>
          <w:rFonts w:hint="eastAsia" w:ascii="黑体" w:hAnsi="黑体" w:eastAsia="黑体"/>
          <w:sz w:val="30"/>
          <w:szCs w:val="30"/>
          <w:highlight w:val="none"/>
        </w:rPr>
        <w:t xml:space="preserve">第二部分  </w:t>
      </w:r>
      <w:r>
        <w:rPr>
          <w:rFonts w:hint="eastAsia" w:ascii="黑体" w:hAnsi="黑体" w:eastAsia="黑体"/>
          <w:sz w:val="30"/>
          <w:szCs w:val="30"/>
          <w:highlight w:val="none"/>
          <w:lang w:val="en-US" w:eastAsia="zh-CN"/>
        </w:rPr>
        <w:t>2024</w:t>
      </w:r>
      <w:r>
        <w:rPr>
          <w:rFonts w:hint="eastAsia" w:ascii="黑体" w:hAnsi="黑体" w:eastAsia="黑体"/>
          <w:sz w:val="30"/>
          <w:szCs w:val="30"/>
          <w:highlight w:val="none"/>
        </w:rPr>
        <w:t>年度部门决算表</w:t>
      </w:r>
    </w:p>
    <w:p w14:paraId="7B93F7BD">
      <w:pPr>
        <w:jc w:val="left"/>
        <w:outlineLvl w:val="1"/>
        <w:rPr>
          <w:rFonts w:hint="eastAsia" w:ascii="楷体" w:hAnsi="楷体" w:eastAsia="楷体"/>
          <w:sz w:val="30"/>
          <w:szCs w:val="30"/>
          <w:highlight w:val="none"/>
        </w:rPr>
      </w:pPr>
      <w:r>
        <w:rPr>
          <w:rFonts w:hint="eastAsia" w:ascii="楷体" w:hAnsi="楷体" w:eastAsia="楷体"/>
          <w:sz w:val="30"/>
          <w:szCs w:val="30"/>
          <w:highlight w:val="none"/>
        </w:rPr>
        <w:t>一、收入支出决算表</w:t>
      </w:r>
    </w:p>
    <w:p w14:paraId="68565F84">
      <w:pPr>
        <w:jc w:val="left"/>
        <w:outlineLvl w:val="1"/>
        <w:rPr>
          <w:rFonts w:hint="eastAsia" w:ascii="楷体" w:hAnsi="楷体" w:eastAsia="楷体"/>
          <w:sz w:val="30"/>
          <w:szCs w:val="30"/>
          <w:highlight w:val="none"/>
        </w:rPr>
      </w:pPr>
      <w:r>
        <w:rPr>
          <w:rFonts w:hint="eastAsia" w:ascii="楷体" w:hAnsi="楷体" w:eastAsia="楷体"/>
          <w:sz w:val="30"/>
          <w:szCs w:val="30"/>
          <w:highlight w:val="none"/>
        </w:rPr>
        <w:t>二、收入决算表</w:t>
      </w:r>
    </w:p>
    <w:p w14:paraId="4C646975">
      <w:pPr>
        <w:jc w:val="left"/>
        <w:outlineLvl w:val="1"/>
        <w:rPr>
          <w:rFonts w:hint="eastAsia" w:ascii="楷体" w:hAnsi="楷体" w:eastAsia="楷体"/>
          <w:sz w:val="30"/>
          <w:szCs w:val="30"/>
          <w:highlight w:val="none"/>
        </w:rPr>
      </w:pPr>
      <w:r>
        <w:rPr>
          <w:rFonts w:hint="eastAsia" w:ascii="楷体" w:hAnsi="楷体" w:eastAsia="楷体"/>
          <w:sz w:val="30"/>
          <w:szCs w:val="30"/>
          <w:highlight w:val="none"/>
        </w:rPr>
        <w:t>三、支出决算表</w:t>
      </w:r>
    </w:p>
    <w:p w14:paraId="33F1C08D">
      <w:pPr>
        <w:jc w:val="left"/>
        <w:outlineLvl w:val="1"/>
        <w:rPr>
          <w:rFonts w:hint="eastAsia" w:ascii="楷体" w:hAnsi="楷体" w:eastAsia="楷体"/>
          <w:sz w:val="30"/>
          <w:szCs w:val="30"/>
          <w:highlight w:val="none"/>
        </w:rPr>
      </w:pPr>
      <w:r>
        <w:rPr>
          <w:rFonts w:hint="eastAsia" w:ascii="楷体" w:hAnsi="楷体" w:eastAsia="楷体"/>
          <w:sz w:val="30"/>
          <w:szCs w:val="30"/>
          <w:highlight w:val="none"/>
        </w:rPr>
        <w:t>四、财政拨款收入支出决算表</w:t>
      </w:r>
    </w:p>
    <w:p w14:paraId="052D12DC">
      <w:pPr>
        <w:jc w:val="left"/>
        <w:outlineLvl w:val="1"/>
        <w:rPr>
          <w:rFonts w:hint="eastAsia" w:ascii="楷体" w:hAnsi="楷体" w:eastAsia="楷体"/>
          <w:sz w:val="30"/>
          <w:szCs w:val="30"/>
          <w:highlight w:val="none"/>
        </w:rPr>
      </w:pPr>
      <w:r>
        <w:rPr>
          <w:rFonts w:hint="eastAsia" w:ascii="楷体" w:hAnsi="楷体" w:eastAsia="楷体"/>
          <w:sz w:val="30"/>
          <w:szCs w:val="30"/>
          <w:highlight w:val="none"/>
        </w:rPr>
        <w:t>五、一般公共预算财政拨款收入支出决算表</w:t>
      </w:r>
    </w:p>
    <w:p w14:paraId="659C84FE">
      <w:pPr>
        <w:jc w:val="left"/>
        <w:outlineLvl w:val="1"/>
        <w:rPr>
          <w:rFonts w:hint="eastAsia" w:ascii="楷体" w:hAnsi="楷体" w:eastAsia="楷体"/>
          <w:sz w:val="30"/>
          <w:szCs w:val="30"/>
          <w:highlight w:val="none"/>
        </w:rPr>
      </w:pPr>
      <w:r>
        <w:rPr>
          <w:rFonts w:hint="eastAsia" w:ascii="楷体" w:hAnsi="楷体" w:eastAsia="楷体"/>
          <w:sz w:val="30"/>
          <w:szCs w:val="30"/>
          <w:highlight w:val="none"/>
        </w:rPr>
        <w:t>六、一般公共预算财政拨款基本支出决算表</w:t>
      </w:r>
    </w:p>
    <w:p w14:paraId="6E2E9793">
      <w:pPr>
        <w:jc w:val="left"/>
        <w:outlineLvl w:val="1"/>
        <w:rPr>
          <w:rFonts w:hint="eastAsia" w:ascii="楷体" w:hAnsi="楷体" w:eastAsia="楷体"/>
          <w:sz w:val="30"/>
          <w:szCs w:val="30"/>
          <w:highlight w:val="none"/>
          <w:lang w:eastAsia="zh-CN"/>
        </w:rPr>
      </w:pPr>
      <w:r>
        <w:rPr>
          <w:rFonts w:hint="eastAsia" w:ascii="楷体" w:hAnsi="楷体" w:eastAsia="楷体"/>
          <w:sz w:val="30"/>
          <w:szCs w:val="30"/>
          <w:highlight w:val="none"/>
        </w:rPr>
        <w:t>七、</w:t>
      </w:r>
      <w:r>
        <w:rPr>
          <w:rFonts w:hint="eastAsia" w:ascii="楷体" w:hAnsi="楷体" w:eastAsia="楷体"/>
          <w:sz w:val="30"/>
          <w:szCs w:val="30"/>
          <w:highlight w:val="none"/>
          <w:lang w:eastAsia="zh-CN"/>
        </w:rPr>
        <w:t>一般公共预算财政拨款项目支出决算表</w:t>
      </w:r>
    </w:p>
    <w:p w14:paraId="3610FFC2">
      <w:pPr>
        <w:jc w:val="left"/>
        <w:outlineLvl w:val="1"/>
        <w:rPr>
          <w:rFonts w:hint="eastAsia" w:ascii="楷体" w:hAnsi="楷体" w:eastAsia="楷体"/>
          <w:sz w:val="30"/>
          <w:szCs w:val="30"/>
          <w:highlight w:val="none"/>
        </w:rPr>
      </w:pPr>
      <w:r>
        <w:rPr>
          <w:rFonts w:hint="eastAsia" w:ascii="楷体" w:hAnsi="楷体" w:eastAsia="楷体"/>
          <w:sz w:val="30"/>
          <w:szCs w:val="30"/>
          <w:highlight w:val="none"/>
          <w:lang w:eastAsia="zh-CN"/>
        </w:rPr>
        <w:t>八</w:t>
      </w:r>
      <w:r>
        <w:rPr>
          <w:rFonts w:hint="eastAsia" w:ascii="楷体" w:hAnsi="楷体" w:eastAsia="楷体"/>
          <w:sz w:val="30"/>
          <w:szCs w:val="30"/>
          <w:highlight w:val="none"/>
        </w:rPr>
        <w:t>、政府性基金预算财政拨款收入支出决算表</w:t>
      </w:r>
    </w:p>
    <w:p w14:paraId="18F2BF42">
      <w:pPr>
        <w:jc w:val="left"/>
        <w:outlineLvl w:val="1"/>
        <w:rPr>
          <w:rFonts w:hint="eastAsia" w:ascii="楷体" w:hAnsi="楷体" w:eastAsia="楷体"/>
          <w:sz w:val="30"/>
          <w:szCs w:val="30"/>
          <w:highlight w:val="none"/>
          <w:lang w:val="en-US" w:eastAsia="zh-CN"/>
        </w:rPr>
      </w:pPr>
      <w:r>
        <w:rPr>
          <w:rFonts w:hint="eastAsia" w:ascii="楷体" w:hAnsi="楷体" w:eastAsia="楷体"/>
          <w:sz w:val="30"/>
          <w:szCs w:val="30"/>
          <w:highlight w:val="none"/>
          <w:lang w:val="en-US" w:eastAsia="zh-CN"/>
        </w:rPr>
        <w:t>九、国有资本经营预算财政拨款收入支出决算表</w:t>
      </w:r>
    </w:p>
    <w:p w14:paraId="3AC2588C">
      <w:pPr>
        <w:jc w:val="left"/>
        <w:outlineLvl w:val="1"/>
        <w:rPr>
          <w:rFonts w:hint="eastAsia" w:ascii="楷体" w:hAnsi="楷体" w:eastAsia="楷体"/>
          <w:sz w:val="30"/>
          <w:szCs w:val="30"/>
          <w:highlight w:val="none"/>
        </w:rPr>
      </w:pPr>
      <w:r>
        <w:rPr>
          <w:rFonts w:hint="eastAsia" w:ascii="楷体" w:hAnsi="楷体" w:eastAsia="楷体"/>
          <w:sz w:val="30"/>
          <w:szCs w:val="30"/>
          <w:highlight w:val="none"/>
          <w:lang w:eastAsia="zh-CN"/>
        </w:rPr>
        <w:t>十</w:t>
      </w:r>
      <w:r>
        <w:rPr>
          <w:rFonts w:hint="eastAsia" w:ascii="楷体" w:hAnsi="楷体" w:eastAsia="楷体"/>
          <w:sz w:val="30"/>
          <w:szCs w:val="30"/>
          <w:highlight w:val="none"/>
        </w:rPr>
        <w:t>、</w:t>
      </w:r>
      <w:r>
        <w:rPr>
          <w:rFonts w:hint="eastAsia" w:ascii="楷体" w:hAnsi="楷体" w:eastAsia="楷体"/>
          <w:sz w:val="30"/>
          <w:szCs w:val="30"/>
          <w:highlight w:val="none"/>
          <w:lang w:eastAsia="zh-CN"/>
        </w:rPr>
        <w:t>财政拨款</w:t>
      </w:r>
      <w:r>
        <w:rPr>
          <w:rFonts w:hint="eastAsia" w:ascii="楷体" w:hAnsi="楷体" w:eastAsia="楷体"/>
          <w:sz w:val="30"/>
          <w:szCs w:val="30"/>
          <w:highlight w:val="none"/>
        </w:rPr>
        <w:t>“三公”经费、行政参公单位机关运行经费情况表</w:t>
      </w:r>
    </w:p>
    <w:p w14:paraId="06A9BCF6">
      <w:pPr>
        <w:jc w:val="left"/>
        <w:outlineLvl w:val="1"/>
        <w:rPr>
          <w:rFonts w:hint="eastAsia" w:ascii="楷体" w:hAnsi="楷体" w:eastAsia="楷体"/>
          <w:sz w:val="30"/>
          <w:szCs w:val="30"/>
          <w:highlight w:val="none"/>
        </w:rPr>
      </w:pPr>
      <w:r>
        <w:rPr>
          <w:rFonts w:hint="eastAsia" w:ascii="楷体" w:hAnsi="楷体" w:eastAsia="楷体"/>
          <w:sz w:val="30"/>
          <w:szCs w:val="30"/>
          <w:highlight w:val="none"/>
          <w:lang w:val="en-US" w:eastAsia="zh-CN"/>
        </w:rPr>
        <w:t>十一、一般公共预算财政拨款“三公”经费情况表</w:t>
      </w:r>
    </w:p>
    <w:p w14:paraId="25CE5259">
      <w:pPr>
        <w:jc w:val="left"/>
        <w:outlineLvl w:val="0"/>
        <w:rPr>
          <w:rFonts w:hint="eastAsia" w:ascii="黑体" w:hAnsi="黑体" w:eastAsia="黑体"/>
          <w:sz w:val="30"/>
          <w:szCs w:val="30"/>
          <w:highlight w:val="none"/>
        </w:rPr>
      </w:pPr>
      <w:r>
        <w:rPr>
          <w:rFonts w:hint="eastAsia" w:ascii="黑体" w:hAnsi="黑体" w:eastAsia="黑体"/>
          <w:sz w:val="30"/>
          <w:szCs w:val="30"/>
          <w:highlight w:val="none"/>
        </w:rPr>
        <w:t>第三部</w:t>
      </w:r>
      <w:r>
        <w:rPr>
          <w:rFonts w:hint="eastAsia" w:ascii="黑体" w:hAnsi="黑体" w:eastAsia="黑体"/>
          <w:sz w:val="30"/>
          <w:szCs w:val="30"/>
          <w:highlight w:val="none"/>
          <w:lang w:eastAsia="zh-CN"/>
        </w:rPr>
        <w:t>分</w:t>
      </w:r>
      <w:r>
        <w:rPr>
          <w:rFonts w:hint="eastAsia" w:ascii="黑体" w:hAnsi="黑体" w:eastAsia="黑体"/>
          <w:sz w:val="30"/>
          <w:szCs w:val="30"/>
          <w:highlight w:val="none"/>
        </w:rPr>
        <w:t xml:space="preserve">  </w:t>
      </w:r>
      <w:r>
        <w:rPr>
          <w:rFonts w:hint="eastAsia" w:ascii="黑体" w:hAnsi="黑体" w:eastAsia="黑体"/>
          <w:sz w:val="30"/>
          <w:szCs w:val="30"/>
          <w:highlight w:val="none"/>
          <w:lang w:val="en-US" w:eastAsia="zh-CN"/>
        </w:rPr>
        <w:t>2024</w:t>
      </w:r>
      <w:r>
        <w:rPr>
          <w:rFonts w:hint="eastAsia" w:ascii="黑体" w:hAnsi="黑体" w:eastAsia="黑体"/>
          <w:sz w:val="30"/>
          <w:szCs w:val="30"/>
          <w:highlight w:val="none"/>
        </w:rPr>
        <w:t>年度部门决算情况说明</w:t>
      </w:r>
    </w:p>
    <w:p w14:paraId="0C50F49F">
      <w:pPr>
        <w:jc w:val="left"/>
        <w:outlineLvl w:val="1"/>
        <w:rPr>
          <w:rFonts w:hint="eastAsia" w:ascii="楷体" w:hAnsi="楷体" w:eastAsia="楷体"/>
          <w:sz w:val="30"/>
          <w:szCs w:val="30"/>
          <w:highlight w:val="none"/>
        </w:rPr>
      </w:pPr>
      <w:r>
        <w:rPr>
          <w:rFonts w:hint="eastAsia" w:ascii="楷体" w:hAnsi="楷体" w:eastAsia="楷体"/>
          <w:sz w:val="30"/>
          <w:szCs w:val="30"/>
          <w:highlight w:val="none"/>
        </w:rPr>
        <w:t>一、收入决算情况说明</w:t>
      </w:r>
    </w:p>
    <w:p w14:paraId="4A100263">
      <w:pPr>
        <w:jc w:val="left"/>
        <w:outlineLvl w:val="1"/>
        <w:rPr>
          <w:rFonts w:hint="eastAsia" w:ascii="楷体" w:hAnsi="楷体" w:eastAsia="楷体"/>
          <w:sz w:val="30"/>
          <w:szCs w:val="30"/>
          <w:highlight w:val="none"/>
        </w:rPr>
      </w:pPr>
      <w:r>
        <w:rPr>
          <w:rFonts w:hint="eastAsia" w:ascii="楷体" w:hAnsi="楷体" w:eastAsia="楷体"/>
          <w:sz w:val="30"/>
          <w:szCs w:val="30"/>
          <w:highlight w:val="none"/>
        </w:rPr>
        <w:t>二、支出决算情况说明</w:t>
      </w:r>
    </w:p>
    <w:p w14:paraId="09EC4CFE">
      <w:pPr>
        <w:jc w:val="left"/>
        <w:outlineLvl w:val="1"/>
        <w:rPr>
          <w:rFonts w:hint="eastAsia" w:ascii="楷体" w:hAnsi="楷体" w:eastAsia="楷体"/>
          <w:sz w:val="30"/>
          <w:szCs w:val="30"/>
          <w:highlight w:val="none"/>
        </w:rPr>
      </w:pPr>
      <w:r>
        <w:rPr>
          <w:rFonts w:hint="eastAsia" w:ascii="楷体" w:hAnsi="楷体" w:eastAsia="楷体"/>
          <w:sz w:val="30"/>
          <w:szCs w:val="30"/>
          <w:highlight w:val="none"/>
        </w:rPr>
        <w:t>三、一般公共预算财政拨款支出决算情况说明</w:t>
      </w:r>
    </w:p>
    <w:p w14:paraId="6DADE336">
      <w:pPr>
        <w:widowControl/>
        <w:snapToGrid w:val="0"/>
        <w:spacing w:before="100" w:after="100" w:line="360" w:lineRule="auto"/>
        <w:jc w:val="left"/>
        <w:outlineLvl w:val="1"/>
        <w:rPr>
          <w:rFonts w:hint="eastAsia" w:ascii="楷体" w:hAnsi="楷体" w:eastAsia="楷体"/>
          <w:sz w:val="30"/>
          <w:szCs w:val="30"/>
          <w:highlight w:val="none"/>
        </w:rPr>
      </w:pPr>
      <w:r>
        <w:rPr>
          <w:rFonts w:hint="eastAsia" w:ascii="楷体" w:hAnsi="楷体" w:eastAsia="楷体"/>
          <w:sz w:val="30"/>
          <w:szCs w:val="30"/>
          <w:highlight w:val="none"/>
        </w:rPr>
        <w:t>四、财政拨款“三公”经费支出决算情况说明</w:t>
      </w:r>
    </w:p>
    <w:p w14:paraId="3788F15A">
      <w:pPr>
        <w:widowControl/>
        <w:snapToGrid w:val="0"/>
        <w:spacing w:before="100" w:after="100" w:line="360" w:lineRule="auto"/>
        <w:jc w:val="left"/>
        <w:outlineLvl w:val="0"/>
        <w:rPr>
          <w:rFonts w:hint="eastAsia" w:ascii="黑体" w:hAnsi="黑体" w:eastAsia="黑体"/>
          <w:sz w:val="30"/>
          <w:szCs w:val="30"/>
          <w:highlight w:val="none"/>
        </w:rPr>
      </w:pPr>
      <w:r>
        <w:rPr>
          <w:rFonts w:hint="eastAsia" w:ascii="黑体" w:hAnsi="黑体" w:eastAsia="黑体"/>
          <w:sz w:val="30"/>
          <w:szCs w:val="30"/>
          <w:highlight w:val="none"/>
          <w:lang w:eastAsia="zh-CN"/>
        </w:rPr>
        <w:t>第四部分</w:t>
      </w:r>
      <w:r>
        <w:rPr>
          <w:rFonts w:hint="eastAsia" w:ascii="楷体" w:hAnsi="楷体" w:eastAsia="楷体"/>
          <w:sz w:val="30"/>
          <w:szCs w:val="30"/>
          <w:highlight w:val="none"/>
          <w:lang w:val="en-US" w:eastAsia="zh-CN"/>
        </w:rPr>
        <w:t xml:space="preserve">  </w:t>
      </w:r>
      <w:r>
        <w:rPr>
          <w:rFonts w:hint="eastAsia" w:ascii="黑体" w:hAnsi="黑体" w:eastAsia="黑体"/>
          <w:sz w:val="30"/>
          <w:szCs w:val="30"/>
          <w:highlight w:val="none"/>
        </w:rPr>
        <w:t>其他重要事项及相关口径情况说明</w:t>
      </w:r>
    </w:p>
    <w:p w14:paraId="67E4E72D">
      <w:pPr>
        <w:jc w:val="left"/>
        <w:outlineLvl w:val="1"/>
        <w:rPr>
          <w:rFonts w:hint="eastAsia" w:ascii="楷体" w:hAnsi="楷体" w:eastAsia="楷体"/>
          <w:sz w:val="30"/>
          <w:szCs w:val="30"/>
          <w:highlight w:val="none"/>
          <w:lang w:eastAsia="zh-CN"/>
        </w:rPr>
      </w:pPr>
      <w:r>
        <w:rPr>
          <w:rFonts w:hint="eastAsia" w:ascii="楷体" w:hAnsi="楷体" w:eastAsia="楷体"/>
          <w:sz w:val="30"/>
          <w:szCs w:val="30"/>
          <w:highlight w:val="none"/>
          <w:lang w:eastAsia="zh-CN"/>
        </w:rPr>
        <w:t>一、</w:t>
      </w:r>
      <w:r>
        <w:rPr>
          <w:rFonts w:hint="eastAsia" w:ascii="楷体" w:hAnsi="楷体" w:eastAsia="楷体"/>
          <w:sz w:val="30"/>
          <w:szCs w:val="30"/>
          <w:highlight w:val="none"/>
        </w:rPr>
        <w:t>机关运行经费支出情况</w:t>
      </w:r>
    </w:p>
    <w:p w14:paraId="74452C71">
      <w:pPr>
        <w:jc w:val="left"/>
        <w:outlineLvl w:val="1"/>
        <w:rPr>
          <w:rFonts w:hint="eastAsia" w:ascii="楷体" w:hAnsi="楷体" w:eastAsia="楷体"/>
          <w:sz w:val="30"/>
          <w:szCs w:val="30"/>
          <w:highlight w:val="none"/>
          <w:lang w:eastAsia="zh-CN"/>
        </w:rPr>
      </w:pPr>
      <w:r>
        <w:rPr>
          <w:rFonts w:hint="eastAsia" w:ascii="楷体" w:hAnsi="楷体" w:eastAsia="楷体"/>
          <w:sz w:val="30"/>
          <w:szCs w:val="30"/>
          <w:highlight w:val="none"/>
          <w:lang w:eastAsia="zh-CN"/>
        </w:rPr>
        <w:t>二、</w:t>
      </w:r>
      <w:r>
        <w:rPr>
          <w:rFonts w:hint="eastAsia" w:ascii="楷体" w:hAnsi="楷体" w:eastAsia="楷体"/>
          <w:sz w:val="30"/>
          <w:szCs w:val="30"/>
          <w:highlight w:val="none"/>
        </w:rPr>
        <w:t>国有资产占用情况</w:t>
      </w:r>
    </w:p>
    <w:p w14:paraId="1F8FE7C5">
      <w:pPr>
        <w:jc w:val="left"/>
        <w:outlineLvl w:val="1"/>
        <w:rPr>
          <w:rFonts w:hint="eastAsia" w:ascii="楷体" w:hAnsi="楷体" w:eastAsia="楷体"/>
          <w:sz w:val="30"/>
          <w:szCs w:val="30"/>
          <w:highlight w:val="none"/>
          <w:lang w:eastAsia="zh-CN"/>
        </w:rPr>
      </w:pPr>
      <w:r>
        <w:rPr>
          <w:rFonts w:hint="eastAsia" w:ascii="楷体" w:hAnsi="楷体" w:eastAsia="楷体"/>
          <w:sz w:val="30"/>
          <w:szCs w:val="30"/>
          <w:highlight w:val="none"/>
          <w:lang w:eastAsia="zh-CN"/>
        </w:rPr>
        <w:t>三、</w:t>
      </w:r>
      <w:r>
        <w:rPr>
          <w:rFonts w:hint="eastAsia" w:ascii="楷体" w:hAnsi="楷体" w:eastAsia="楷体"/>
          <w:sz w:val="30"/>
          <w:szCs w:val="30"/>
          <w:highlight w:val="none"/>
        </w:rPr>
        <w:t>政府采购支出情况</w:t>
      </w:r>
    </w:p>
    <w:p w14:paraId="1407E1D7">
      <w:pPr>
        <w:jc w:val="left"/>
        <w:outlineLvl w:val="1"/>
        <w:rPr>
          <w:rFonts w:hint="eastAsia" w:ascii="楷体" w:hAnsi="楷体" w:eastAsia="楷体"/>
          <w:sz w:val="30"/>
          <w:szCs w:val="30"/>
          <w:highlight w:val="none"/>
          <w:lang w:val="en-US" w:eastAsia="zh-CN"/>
        </w:rPr>
      </w:pPr>
      <w:r>
        <w:rPr>
          <w:rFonts w:hint="eastAsia" w:ascii="楷体" w:hAnsi="楷体" w:eastAsia="楷体"/>
          <w:sz w:val="30"/>
          <w:szCs w:val="30"/>
          <w:highlight w:val="none"/>
          <w:lang w:eastAsia="zh-CN"/>
        </w:rPr>
        <w:t>四、</w:t>
      </w:r>
      <w:r>
        <w:rPr>
          <w:rFonts w:hint="eastAsia" w:ascii="楷体" w:hAnsi="楷体" w:eastAsia="楷体"/>
          <w:sz w:val="30"/>
          <w:szCs w:val="30"/>
          <w:highlight w:val="none"/>
          <w:lang w:val="en-US" w:eastAsia="zh-CN"/>
        </w:rPr>
        <w:t>部门绩效自评情况</w:t>
      </w:r>
    </w:p>
    <w:p w14:paraId="07B1B95A">
      <w:pPr>
        <w:jc w:val="left"/>
        <w:outlineLvl w:val="1"/>
        <w:rPr>
          <w:rFonts w:hint="eastAsia" w:ascii="楷体" w:hAnsi="楷体" w:eastAsia="楷体"/>
          <w:sz w:val="30"/>
          <w:szCs w:val="30"/>
          <w:highlight w:val="none"/>
          <w:lang w:val="en-US" w:eastAsia="zh-CN"/>
        </w:rPr>
      </w:pPr>
      <w:r>
        <w:rPr>
          <w:rFonts w:hint="eastAsia" w:ascii="楷体" w:hAnsi="楷体" w:eastAsia="楷体"/>
          <w:sz w:val="30"/>
          <w:szCs w:val="30"/>
          <w:highlight w:val="none"/>
          <w:lang w:eastAsia="zh-CN"/>
        </w:rPr>
        <w:t>五、</w:t>
      </w:r>
      <w:r>
        <w:rPr>
          <w:rFonts w:hint="eastAsia" w:ascii="楷体" w:hAnsi="楷体" w:eastAsia="楷体"/>
          <w:sz w:val="30"/>
          <w:szCs w:val="30"/>
          <w:highlight w:val="none"/>
          <w:lang w:val="en-US" w:eastAsia="zh-CN"/>
        </w:rPr>
        <w:t>其他重要事项情况说明</w:t>
      </w:r>
    </w:p>
    <w:p w14:paraId="1714B10E">
      <w:pPr>
        <w:jc w:val="left"/>
        <w:outlineLvl w:val="1"/>
        <w:rPr>
          <w:rFonts w:hint="eastAsia" w:ascii="楷体" w:hAnsi="楷体" w:eastAsia="楷体"/>
          <w:sz w:val="30"/>
          <w:szCs w:val="30"/>
          <w:highlight w:val="none"/>
          <w:lang w:val="en-US" w:eastAsia="zh-CN"/>
        </w:rPr>
      </w:pPr>
      <w:r>
        <w:rPr>
          <w:rFonts w:hint="eastAsia" w:ascii="楷体" w:hAnsi="楷体" w:eastAsia="楷体"/>
          <w:sz w:val="30"/>
          <w:szCs w:val="30"/>
          <w:highlight w:val="none"/>
          <w:lang w:val="en-US" w:eastAsia="zh-CN"/>
        </w:rPr>
        <w:t>六、相关口径说明</w:t>
      </w:r>
    </w:p>
    <w:p w14:paraId="4516D182">
      <w:pPr>
        <w:widowControl/>
        <w:snapToGrid w:val="0"/>
        <w:spacing w:before="100" w:after="100" w:line="360" w:lineRule="auto"/>
        <w:jc w:val="left"/>
        <w:outlineLvl w:val="0"/>
        <w:rPr>
          <w:rFonts w:hint="eastAsia" w:ascii="黑体" w:hAnsi="黑体" w:eastAsia="黑体"/>
          <w:sz w:val="30"/>
          <w:szCs w:val="30"/>
          <w:highlight w:val="none"/>
        </w:rPr>
      </w:pPr>
      <w:r>
        <w:rPr>
          <w:rFonts w:hint="eastAsia" w:ascii="黑体" w:hAnsi="黑体" w:eastAsia="黑体"/>
          <w:sz w:val="30"/>
          <w:szCs w:val="30"/>
          <w:highlight w:val="none"/>
        </w:rPr>
        <w:t>第</w:t>
      </w:r>
      <w:r>
        <w:rPr>
          <w:rFonts w:hint="eastAsia" w:ascii="黑体" w:hAnsi="黑体" w:eastAsia="黑体"/>
          <w:sz w:val="30"/>
          <w:szCs w:val="30"/>
          <w:highlight w:val="none"/>
          <w:lang w:eastAsia="zh-CN"/>
        </w:rPr>
        <w:t>五</w:t>
      </w:r>
      <w:r>
        <w:rPr>
          <w:rFonts w:hint="eastAsia" w:ascii="黑体" w:hAnsi="黑体" w:eastAsia="黑体"/>
          <w:sz w:val="30"/>
          <w:szCs w:val="30"/>
          <w:highlight w:val="none"/>
        </w:rPr>
        <w:t>部分  名词解释</w:t>
      </w:r>
    </w:p>
    <w:p w14:paraId="75E3A9A6">
      <w:pPr>
        <w:jc w:val="center"/>
        <w:rPr>
          <w:rFonts w:hint="eastAsia" w:ascii="黑体" w:hAnsi="黑体" w:eastAsia="黑体"/>
          <w:sz w:val="32"/>
          <w:szCs w:val="32"/>
          <w:highlight w:val="none"/>
        </w:rPr>
      </w:pPr>
    </w:p>
    <w:p w14:paraId="50017BF6">
      <w:pPr>
        <w:jc w:val="center"/>
        <w:rPr>
          <w:rFonts w:hint="eastAsia" w:ascii="黑体" w:hAnsi="黑体" w:eastAsia="黑体"/>
          <w:sz w:val="32"/>
          <w:szCs w:val="32"/>
          <w:highlight w:val="none"/>
        </w:rPr>
      </w:pPr>
    </w:p>
    <w:p w14:paraId="6608317D">
      <w:pPr>
        <w:jc w:val="center"/>
        <w:rPr>
          <w:rFonts w:hint="eastAsia" w:ascii="黑体" w:hAnsi="黑体" w:eastAsia="黑体"/>
          <w:sz w:val="32"/>
          <w:szCs w:val="32"/>
          <w:highlight w:val="none"/>
        </w:rPr>
      </w:pPr>
    </w:p>
    <w:p w14:paraId="09646206">
      <w:pPr>
        <w:jc w:val="center"/>
        <w:rPr>
          <w:rFonts w:hint="eastAsia" w:ascii="黑体" w:hAnsi="黑体" w:eastAsia="黑体"/>
          <w:sz w:val="32"/>
          <w:szCs w:val="32"/>
          <w:highlight w:val="none"/>
        </w:rPr>
      </w:pPr>
    </w:p>
    <w:p w14:paraId="1FCA41EA">
      <w:pPr>
        <w:jc w:val="center"/>
        <w:rPr>
          <w:rFonts w:hint="eastAsia" w:ascii="黑体" w:hAnsi="黑体" w:eastAsia="黑体"/>
          <w:sz w:val="32"/>
          <w:szCs w:val="32"/>
          <w:highlight w:val="none"/>
        </w:rPr>
      </w:pPr>
    </w:p>
    <w:p w14:paraId="7D25E089">
      <w:pPr>
        <w:jc w:val="center"/>
        <w:rPr>
          <w:rFonts w:hint="eastAsia" w:ascii="黑体" w:hAnsi="黑体" w:eastAsia="黑体"/>
          <w:sz w:val="32"/>
          <w:szCs w:val="32"/>
          <w:highlight w:val="none"/>
        </w:rPr>
      </w:pPr>
    </w:p>
    <w:p w14:paraId="140D5D1B">
      <w:pPr>
        <w:jc w:val="center"/>
        <w:rPr>
          <w:rFonts w:hint="eastAsia" w:ascii="黑体" w:hAnsi="黑体" w:eastAsia="黑体"/>
          <w:sz w:val="32"/>
          <w:szCs w:val="32"/>
          <w:highlight w:val="none"/>
        </w:rPr>
      </w:pPr>
    </w:p>
    <w:p w14:paraId="2F4FD4D2">
      <w:pPr>
        <w:jc w:val="both"/>
        <w:rPr>
          <w:rFonts w:hint="eastAsia" w:ascii="黑体" w:hAnsi="黑体" w:eastAsia="黑体"/>
          <w:sz w:val="32"/>
          <w:szCs w:val="32"/>
          <w:highlight w:val="none"/>
        </w:rPr>
      </w:pPr>
    </w:p>
    <w:p w14:paraId="47DA88F0">
      <w:pPr>
        <w:jc w:val="center"/>
        <w:outlineLvl w:val="0"/>
        <w:rPr>
          <w:rFonts w:hint="eastAsia" w:ascii="黑体" w:hAnsi="黑体" w:eastAsia="黑体"/>
          <w:sz w:val="32"/>
          <w:szCs w:val="32"/>
          <w:highlight w:val="none"/>
        </w:rPr>
      </w:pPr>
      <w:r>
        <w:rPr>
          <w:rFonts w:hint="eastAsia" w:ascii="黑体" w:hAnsi="黑体" w:eastAsia="黑体"/>
          <w:sz w:val="32"/>
          <w:szCs w:val="32"/>
          <w:highlight w:val="none"/>
        </w:rPr>
        <w:t xml:space="preserve">第一部分  </w:t>
      </w:r>
      <w:r>
        <w:rPr>
          <w:rFonts w:hint="eastAsia" w:ascii="黑体" w:hAnsi="黑体" w:eastAsia="黑体"/>
          <w:sz w:val="32"/>
          <w:szCs w:val="32"/>
          <w:highlight w:val="none"/>
          <w:lang w:eastAsia="zh-CN"/>
        </w:rPr>
        <w:t>单位</w:t>
      </w:r>
      <w:r>
        <w:rPr>
          <w:rFonts w:hint="eastAsia" w:ascii="黑体" w:hAnsi="黑体" w:eastAsia="黑体"/>
          <w:sz w:val="32"/>
          <w:szCs w:val="32"/>
          <w:highlight w:val="none"/>
        </w:rPr>
        <w:t>概况</w:t>
      </w:r>
    </w:p>
    <w:p w14:paraId="55A41027">
      <w:pPr>
        <w:keepNext w:val="0"/>
        <w:keepLines w:val="0"/>
        <w:pageBreakBefore w:val="0"/>
        <w:widowControl w:val="0"/>
        <w:kinsoku/>
        <w:wordWrap/>
        <w:overflowPunct/>
        <w:topLinePunct w:val="0"/>
        <w:autoSpaceDE/>
        <w:autoSpaceDN/>
        <w:bidi w:val="0"/>
        <w:spacing w:line="600" w:lineRule="exact"/>
        <w:ind w:firstLine="600" w:firstLineChars="200"/>
        <w:textAlignment w:val="auto"/>
        <w:outlineLvl w:val="1"/>
        <w:rPr>
          <w:rFonts w:hint="eastAsia" w:ascii="黑体" w:hAnsi="黑体" w:eastAsia="黑体"/>
          <w:sz w:val="30"/>
          <w:szCs w:val="30"/>
          <w:highlight w:val="none"/>
          <w:lang w:eastAsia="zh-CN"/>
        </w:rPr>
      </w:pPr>
      <w:r>
        <w:rPr>
          <w:rFonts w:hint="eastAsia" w:ascii="黑体" w:hAnsi="黑体" w:eastAsia="黑体"/>
          <w:sz w:val="30"/>
          <w:szCs w:val="30"/>
          <w:highlight w:val="none"/>
        </w:rPr>
        <w:t>一、主要</w:t>
      </w:r>
      <w:r>
        <w:rPr>
          <w:rFonts w:hint="eastAsia" w:ascii="黑体" w:hAnsi="黑体" w:eastAsia="黑体"/>
          <w:sz w:val="30"/>
          <w:szCs w:val="30"/>
          <w:highlight w:val="none"/>
          <w:lang w:eastAsia="zh-CN"/>
        </w:rPr>
        <w:t>职责</w:t>
      </w:r>
    </w:p>
    <w:p w14:paraId="627B5023">
      <w:pPr>
        <w:keepNext w:val="0"/>
        <w:keepLines w:val="0"/>
        <w:pageBreakBefore w:val="0"/>
        <w:widowControl w:val="0"/>
        <w:kinsoku/>
        <w:wordWrap/>
        <w:overflowPunct/>
        <w:topLinePunct w:val="0"/>
        <w:autoSpaceDE/>
        <w:autoSpaceDN/>
        <w:bidi w:val="0"/>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rPr>
        <w:t>云南师范大学附属世纪金源学校创办于2006年9月，是由云南省教育厅主管，云南师范大学举办的一所国有公办、高校附属，集幼儿园、小学、初中、高中一体化办学的基础教育学校，学校占地</w:t>
      </w:r>
      <w:r>
        <w:rPr>
          <w:rFonts w:hint="eastAsia" w:ascii="仿宋_GB2312" w:hAnsi="Times New Roman" w:eastAsia="仿宋_GB2312" w:cs="Times New Roman"/>
          <w:sz w:val="30"/>
          <w:szCs w:val="30"/>
          <w:highlight w:val="none"/>
          <w:lang w:val="en-US" w:eastAsia="zh-CN"/>
        </w:rPr>
        <w:t>121.55</w:t>
      </w:r>
      <w:r>
        <w:rPr>
          <w:rFonts w:hint="eastAsia" w:ascii="仿宋_GB2312" w:hAnsi="Times New Roman" w:eastAsia="仿宋_GB2312" w:cs="Times New Roman"/>
          <w:sz w:val="30"/>
          <w:szCs w:val="30"/>
          <w:highlight w:val="none"/>
        </w:rPr>
        <w:t>亩，总建筑面积3.5万平方米。短短18年时间，学校办学规模迅速扩大，截至2024年12月，在校学生6351人。</w:t>
      </w:r>
    </w:p>
    <w:p w14:paraId="2323F56D">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rPr>
        <w:t>学校主要职责包括：1.认真对照党中央、省委、省委教育工委、师大党委的建设和全面从严治党工作，全面贯彻执行“党的教育方针”政策和法律法规，坚持依法治校，规范管理，全面推进素质教育，提高办学质量；2.坚持立德树人，德育为先，张扬学生个性，发展学生特长，关注学生的品德、学业、身心、兴趣水平和状况，深入开展体育教育、艺术教育、劳动教育和社会实践活动，培养德智体美劳全面发展的社会主义建设者和接班人；3.加强教师培训，提高教职工整体素质，正确引领教职工人生观、价值观，做好职业道德和法律法规教育，完成人才培养、引进、使用、管理、服务、奖惩工作；4.做好统一战线工作，组织好学校工会、共青团、学生会、社团联合会、少先队等群团组织和教职工代表大会，支持按各自章程独立自主开展活动；5.严格执行财经纪律和财务制度，规范收费行为，建立科学的财务预算、决算机制，对核定的办学经费统筹使用，加强监管，防范财务风险，保障财务安全。保护和管理学校资产，做好校园建设，努力提高办学效益，改善办学条件；6.执行国家教育考试制度。组织好各学段的教学质量检测，并按上级教育行政部门的具体要求组织好各类升学考、毕业考和学业水平考试；7.不断完善后勤管理和服务体系，树立为教学服务、为科研服务、为师生服务的意识，为学校发展提供切实保障；8.构建校园安全机制，定期举行安全知识讲座、消防疏散演习、避震抗灾演习、防爆反恐演练等，打造平安校园，确保师生安全；9.按照“扎根官渡，服务全区，带动全区”的要求，发挥学校在全区教育教学上的优势和辐射作用，促进官渡区教育质量的提高，为昆明市、云南省“十五年”一贯制教育的发展作出积极有效的贡献。</w:t>
      </w:r>
    </w:p>
    <w:p w14:paraId="7BABEF0B">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1"/>
        <w:rPr>
          <w:rFonts w:hint="eastAsia" w:ascii="黑体" w:hAnsi="黑体" w:eastAsia="黑体"/>
          <w:sz w:val="30"/>
          <w:szCs w:val="30"/>
          <w:highlight w:val="none"/>
        </w:rPr>
      </w:pPr>
      <w:r>
        <w:rPr>
          <w:rFonts w:hint="eastAsia" w:ascii="黑体" w:hAnsi="黑体" w:eastAsia="黑体"/>
          <w:sz w:val="30"/>
          <w:szCs w:val="30"/>
          <w:highlight w:val="none"/>
        </w:rPr>
        <w:t>二、</w:t>
      </w:r>
      <w:r>
        <w:rPr>
          <w:rFonts w:hint="eastAsia" w:ascii="黑体" w:hAnsi="黑体" w:eastAsia="黑体"/>
          <w:sz w:val="30"/>
          <w:szCs w:val="30"/>
          <w:highlight w:val="none"/>
          <w:lang w:eastAsia="zh-CN"/>
        </w:rPr>
        <w:t>单位</w:t>
      </w:r>
      <w:r>
        <w:rPr>
          <w:rFonts w:hint="eastAsia" w:ascii="黑体" w:hAnsi="黑体" w:eastAsia="黑体"/>
          <w:sz w:val="30"/>
          <w:szCs w:val="30"/>
          <w:highlight w:val="none"/>
        </w:rPr>
        <w:t>基本情况</w:t>
      </w:r>
    </w:p>
    <w:p w14:paraId="462A653F">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sz w:val="30"/>
          <w:szCs w:val="30"/>
          <w:highlight w:val="none"/>
        </w:rPr>
      </w:pPr>
      <w:r>
        <w:rPr>
          <w:rFonts w:hint="eastAsia" w:ascii="楷体" w:hAnsi="楷体" w:eastAsia="楷体"/>
          <w:sz w:val="30"/>
          <w:szCs w:val="30"/>
          <w:highlight w:val="none"/>
        </w:rPr>
        <w:t>（一）机构设置情况</w:t>
      </w:r>
    </w:p>
    <w:p w14:paraId="35FB5DF8">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我单位共设置13个内设机构，包括：幼儿园段、小学段、中学段、党委办公室、行政办公室、教学运行中心、教师发展中心、学生成长中心、后勤保障中心、安全保卫中心、信息中心、工会、团委。</w:t>
      </w:r>
    </w:p>
    <w:p w14:paraId="357E7437">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我单位为基层预算单位，无下属单位。</w:t>
      </w:r>
    </w:p>
    <w:p w14:paraId="2E2FACC5">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sz w:val="30"/>
          <w:szCs w:val="30"/>
          <w:highlight w:val="none"/>
        </w:rPr>
      </w:pPr>
      <w:r>
        <w:rPr>
          <w:rFonts w:hint="eastAsia" w:ascii="楷体" w:hAnsi="楷体" w:eastAsia="楷体"/>
          <w:sz w:val="30"/>
          <w:szCs w:val="30"/>
          <w:highlight w:val="none"/>
          <w:lang w:eastAsia="zh-CN"/>
        </w:rPr>
        <w:t>（二）</w:t>
      </w:r>
      <w:r>
        <w:rPr>
          <w:rFonts w:hint="eastAsia" w:ascii="楷体" w:hAnsi="楷体" w:eastAsia="楷体"/>
          <w:sz w:val="30"/>
          <w:szCs w:val="30"/>
          <w:highlight w:val="none"/>
        </w:rPr>
        <w:t>决算单位构成</w:t>
      </w:r>
    </w:p>
    <w:p w14:paraId="0A2E489A">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lang w:eastAsia="zh-CN"/>
        </w:rPr>
        <w:t>我单位作为</w:t>
      </w:r>
      <w:r>
        <w:rPr>
          <w:rFonts w:hint="eastAsia" w:ascii="仿宋_GB2312" w:hAnsi="Times New Roman" w:eastAsia="仿宋_GB2312" w:cs="Times New Roman"/>
          <w:sz w:val="30"/>
          <w:szCs w:val="30"/>
          <w:highlight w:val="none"/>
          <w:lang w:val="en-US" w:eastAsia="zh-CN"/>
        </w:rPr>
        <w:t>云南省教育厅的</w:t>
      </w:r>
      <w:r>
        <w:rPr>
          <w:rFonts w:hint="eastAsia" w:ascii="仿宋_GB2312" w:hAnsi="Times New Roman" w:eastAsia="仿宋_GB2312" w:cs="Times New Roman"/>
          <w:sz w:val="30"/>
          <w:szCs w:val="30"/>
          <w:highlight w:val="none"/>
          <w:lang w:eastAsia="zh-CN"/>
        </w:rPr>
        <w:t>二级预算单位</w:t>
      </w:r>
      <w:r>
        <w:rPr>
          <w:rFonts w:hint="eastAsia" w:ascii="仿宋_GB2312" w:hAnsi="Times New Roman" w:eastAsia="仿宋_GB2312" w:cs="Times New Roman"/>
          <w:sz w:val="30"/>
          <w:szCs w:val="30"/>
          <w:highlight w:val="none"/>
        </w:rPr>
        <w:t>纳入</w:t>
      </w: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年度部门决算编报</w:t>
      </w:r>
      <w:r>
        <w:rPr>
          <w:rFonts w:hint="eastAsia" w:ascii="仿宋_GB2312" w:hAnsi="Times New Roman" w:eastAsia="仿宋_GB2312" w:cs="Times New Roman"/>
          <w:sz w:val="30"/>
          <w:szCs w:val="30"/>
          <w:highlight w:val="none"/>
          <w:lang w:eastAsia="zh-CN"/>
        </w:rPr>
        <w:t>范围</w:t>
      </w:r>
      <w:r>
        <w:rPr>
          <w:rFonts w:hint="eastAsia" w:ascii="仿宋_GB2312" w:hAnsi="Times New Roman" w:eastAsia="仿宋_GB2312" w:cs="Times New Roman"/>
          <w:sz w:val="30"/>
          <w:szCs w:val="30"/>
          <w:highlight w:val="none"/>
        </w:rPr>
        <w:t>。</w:t>
      </w:r>
    </w:p>
    <w:p w14:paraId="01EF29CD">
      <w:pPr>
        <w:keepNext w:val="0"/>
        <w:keepLines w:val="0"/>
        <w:pageBreakBefore w:val="0"/>
        <w:widowControl w:val="0"/>
        <w:kinsoku/>
        <w:wordWrap/>
        <w:overflowPunct/>
        <w:topLinePunct w:val="0"/>
        <w:autoSpaceDE/>
        <w:autoSpaceDN/>
        <w:bidi w:val="0"/>
        <w:adjustRightInd/>
        <w:ind w:firstLine="600" w:firstLineChars="200"/>
        <w:textAlignment w:val="auto"/>
        <w:outlineLvl w:val="2"/>
        <w:rPr>
          <w:rFonts w:hint="eastAsia" w:ascii="楷体" w:hAnsi="楷体" w:eastAsia="楷体"/>
          <w:sz w:val="30"/>
          <w:szCs w:val="30"/>
          <w:highlight w:val="none"/>
        </w:rPr>
      </w:pPr>
      <w:r>
        <w:rPr>
          <w:rFonts w:hint="eastAsia" w:ascii="楷体" w:hAnsi="楷体" w:eastAsia="楷体"/>
          <w:sz w:val="30"/>
          <w:szCs w:val="30"/>
          <w:highlight w:val="none"/>
        </w:rPr>
        <w:t>（</w:t>
      </w:r>
      <w:r>
        <w:rPr>
          <w:rFonts w:hint="eastAsia" w:ascii="楷体" w:hAnsi="楷体" w:eastAsia="楷体"/>
          <w:sz w:val="30"/>
          <w:szCs w:val="30"/>
          <w:highlight w:val="none"/>
          <w:lang w:eastAsia="zh-CN"/>
        </w:rPr>
        <w:t>三</w:t>
      </w:r>
      <w:r>
        <w:rPr>
          <w:rFonts w:hint="eastAsia" w:ascii="楷体" w:hAnsi="楷体" w:eastAsia="楷体"/>
          <w:sz w:val="30"/>
          <w:szCs w:val="30"/>
          <w:highlight w:val="none"/>
        </w:rPr>
        <w:t>）</w:t>
      </w:r>
      <w:r>
        <w:rPr>
          <w:rFonts w:hint="eastAsia" w:ascii="楷体" w:hAnsi="楷体" w:eastAsia="楷体"/>
          <w:sz w:val="30"/>
          <w:szCs w:val="30"/>
          <w:highlight w:val="none"/>
          <w:lang w:eastAsia="zh-CN"/>
        </w:rPr>
        <w:t>单位</w:t>
      </w:r>
      <w:r>
        <w:rPr>
          <w:rFonts w:hint="eastAsia" w:ascii="楷体" w:hAnsi="楷体" w:eastAsia="楷体"/>
          <w:sz w:val="30"/>
          <w:szCs w:val="30"/>
          <w:highlight w:val="none"/>
        </w:rPr>
        <w:t xml:space="preserve">人员和车辆的编制及实有情况 </w:t>
      </w:r>
    </w:p>
    <w:p w14:paraId="1525DC2F">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eastAsia="zh-CN"/>
        </w:rPr>
      </w:pPr>
      <w:r>
        <w:rPr>
          <w:rFonts w:hint="eastAsia" w:ascii="仿宋_GB2312" w:hAnsi="Times New Roman" w:eastAsia="仿宋_GB2312" w:cs="Times New Roman"/>
          <w:sz w:val="30"/>
          <w:szCs w:val="30"/>
          <w:highlight w:val="none"/>
          <w:lang w:eastAsia="zh-CN"/>
        </w:rPr>
        <w:t>我单位</w:t>
      </w: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年末</w:t>
      </w:r>
      <w:r>
        <w:rPr>
          <w:rFonts w:hint="eastAsia" w:ascii="仿宋_GB2312" w:hAnsi="Times New Roman" w:eastAsia="仿宋_GB2312" w:cs="Times New Roman"/>
          <w:sz w:val="30"/>
          <w:szCs w:val="30"/>
          <w:highlight w:val="none"/>
          <w:lang w:eastAsia="zh-CN"/>
        </w:rPr>
        <w:t>编制内</w:t>
      </w:r>
      <w:r>
        <w:rPr>
          <w:rFonts w:hint="eastAsia" w:ascii="仿宋_GB2312" w:hAnsi="Times New Roman" w:eastAsia="仿宋_GB2312" w:cs="Times New Roman"/>
          <w:sz w:val="30"/>
          <w:szCs w:val="30"/>
          <w:highlight w:val="none"/>
        </w:rPr>
        <w:t>实有人员</w:t>
      </w:r>
      <w:r>
        <w:rPr>
          <w:rFonts w:hint="eastAsia" w:ascii="仿宋_GB2312" w:hAnsi="Times New Roman" w:eastAsia="仿宋_GB2312" w:cs="Times New Roman"/>
          <w:sz w:val="30"/>
          <w:szCs w:val="30"/>
          <w:highlight w:val="none"/>
          <w:lang w:val="en-US" w:eastAsia="zh-CN"/>
        </w:rPr>
        <w:t>327</w:t>
      </w:r>
      <w:r>
        <w:rPr>
          <w:rFonts w:hint="eastAsia" w:ascii="仿宋_GB2312" w:hAnsi="Times New Roman" w:eastAsia="仿宋_GB2312" w:cs="Times New Roman"/>
          <w:sz w:val="30"/>
          <w:szCs w:val="30"/>
          <w:highlight w:val="none"/>
        </w:rPr>
        <w:t>人。</w:t>
      </w:r>
      <w:r>
        <w:rPr>
          <w:rFonts w:hint="eastAsia" w:ascii="仿宋_GB2312" w:hAnsi="Times New Roman" w:eastAsia="仿宋_GB2312" w:cs="Times New Roman"/>
          <w:sz w:val="30"/>
          <w:szCs w:val="30"/>
          <w:highlight w:val="none"/>
          <w:lang w:eastAsia="zh-CN"/>
        </w:rPr>
        <w:t>包括财政拨款开支经费的</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公务员</w:t>
      </w:r>
      <w:r>
        <w:rPr>
          <w:rFonts w:hint="eastAsia" w:ascii="仿宋_GB2312" w:hAnsi="Times New Roman" w:eastAsia="仿宋_GB2312" w:cs="Times New Roman"/>
          <w:sz w:val="30"/>
          <w:szCs w:val="30"/>
          <w:highlight w:val="none"/>
          <w:lang w:val="en-US" w:eastAsia="zh-CN"/>
        </w:rPr>
        <w:t>0</w:t>
      </w:r>
      <w:r>
        <w:rPr>
          <w:rFonts w:hint="eastAsia" w:ascii="仿宋_GB2312" w:hAnsi="Times New Roman" w:eastAsia="仿宋_GB2312" w:cs="Times New Roman"/>
          <w:sz w:val="30"/>
          <w:szCs w:val="30"/>
          <w:highlight w:val="none"/>
        </w:rPr>
        <w:t>人，</w:t>
      </w:r>
      <w:r>
        <w:rPr>
          <w:rFonts w:hint="eastAsia" w:ascii="仿宋_GB2312" w:hAnsi="Times New Roman" w:eastAsia="仿宋_GB2312" w:cs="Times New Roman"/>
          <w:sz w:val="30"/>
          <w:szCs w:val="30"/>
          <w:highlight w:val="none"/>
          <w:lang w:eastAsia="zh-CN"/>
        </w:rPr>
        <w:t>参照公务员法管理人员</w:t>
      </w:r>
      <w:r>
        <w:rPr>
          <w:rFonts w:hint="eastAsia" w:ascii="仿宋_GB2312" w:hAnsi="Times New Roman" w:eastAsia="仿宋_GB2312" w:cs="Times New Roman"/>
          <w:sz w:val="30"/>
          <w:szCs w:val="30"/>
          <w:highlight w:val="none"/>
          <w:lang w:val="en-US" w:eastAsia="zh-CN"/>
        </w:rPr>
        <w:t>0</w:t>
      </w:r>
      <w:r>
        <w:rPr>
          <w:rFonts w:hint="eastAsia" w:ascii="仿宋_GB2312" w:hAnsi="Times New Roman" w:eastAsia="仿宋_GB2312" w:cs="Times New Roman"/>
          <w:sz w:val="30"/>
          <w:szCs w:val="30"/>
          <w:highlight w:val="none"/>
        </w:rPr>
        <w:t>人</w:t>
      </w:r>
      <w:r>
        <w:rPr>
          <w:rFonts w:hint="eastAsia" w:ascii="仿宋_GB2312" w:hAnsi="Times New Roman" w:eastAsia="仿宋_GB2312" w:cs="Times New Roman"/>
          <w:sz w:val="30"/>
          <w:szCs w:val="30"/>
          <w:highlight w:val="none"/>
          <w:lang w:eastAsia="zh-CN"/>
        </w:rPr>
        <w:t>，</w:t>
      </w:r>
      <w:r>
        <w:rPr>
          <w:rFonts w:hint="eastAsia" w:ascii="仿宋_GB2312" w:hAnsi="Times New Roman" w:eastAsia="仿宋_GB2312" w:cs="Times New Roman"/>
          <w:sz w:val="30"/>
          <w:szCs w:val="30"/>
          <w:highlight w:val="none"/>
        </w:rPr>
        <w:t>事业管理人员和专业技术人员</w:t>
      </w:r>
      <w:r>
        <w:rPr>
          <w:rFonts w:hint="eastAsia" w:ascii="仿宋_GB2312" w:hAnsi="Times New Roman" w:eastAsia="仿宋_GB2312" w:cs="Times New Roman"/>
          <w:sz w:val="30"/>
          <w:szCs w:val="30"/>
          <w:highlight w:val="none"/>
          <w:lang w:val="en-US" w:eastAsia="zh-CN"/>
        </w:rPr>
        <w:t>325</w:t>
      </w:r>
      <w:r>
        <w:rPr>
          <w:rFonts w:hint="eastAsia" w:ascii="仿宋_GB2312" w:hAnsi="Times New Roman" w:eastAsia="仿宋_GB2312" w:cs="Times New Roman"/>
          <w:sz w:val="30"/>
          <w:szCs w:val="30"/>
          <w:highlight w:val="none"/>
        </w:rPr>
        <w:t>人，机关和事业工人</w:t>
      </w:r>
      <w:r>
        <w:rPr>
          <w:rFonts w:hint="eastAsia" w:ascii="仿宋_GB2312" w:hAnsi="Times New Roman" w:eastAsia="仿宋_GB2312" w:cs="Times New Roman"/>
          <w:sz w:val="30"/>
          <w:szCs w:val="30"/>
          <w:highlight w:val="none"/>
          <w:lang w:val="en-US" w:eastAsia="zh-CN"/>
        </w:rPr>
        <w:t>2</w:t>
      </w:r>
      <w:r>
        <w:rPr>
          <w:rFonts w:hint="eastAsia" w:ascii="仿宋_GB2312" w:hAnsi="Times New Roman" w:eastAsia="仿宋_GB2312" w:cs="Times New Roman"/>
          <w:sz w:val="30"/>
          <w:szCs w:val="30"/>
          <w:highlight w:val="none"/>
        </w:rPr>
        <w:t>人</w:t>
      </w:r>
      <w:r>
        <w:rPr>
          <w:rFonts w:hint="eastAsia" w:ascii="仿宋_GB2312" w:hAnsi="Times New Roman" w:eastAsia="仿宋_GB2312" w:cs="Times New Roman"/>
          <w:sz w:val="30"/>
          <w:szCs w:val="30"/>
          <w:highlight w:val="none"/>
          <w:lang w:eastAsia="zh-CN"/>
        </w:rPr>
        <w:t>；经费自理人员</w:t>
      </w:r>
      <w:r>
        <w:rPr>
          <w:rFonts w:hint="eastAsia" w:ascii="仿宋_GB2312" w:hAnsi="Times New Roman" w:eastAsia="仿宋_GB2312" w:cs="Times New Roman"/>
          <w:sz w:val="30"/>
          <w:szCs w:val="30"/>
          <w:highlight w:val="none"/>
          <w:lang w:val="en-US" w:eastAsia="zh-CN"/>
        </w:rPr>
        <w:t>0</w:t>
      </w:r>
      <w:r>
        <w:rPr>
          <w:rFonts w:hint="eastAsia" w:ascii="仿宋_GB2312" w:hAnsi="Times New Roman" w:eastAsia="仿宋_GB2312" w:cs="Times New Roman"/>
          <w:sz w:val="30"/>
          <w:szCs w:val="30"/>
          <w:highlight w:val="none"/>
        </w:rPr>
        <w:t>人</w:t>
      </w:r>
      <w:r>
        <w:rPr>
          <w:rFonts w:hint="eastAsia" w:ascii="仿宋_GB2312" w:hAnsi="Times New Roman" w:eastAsia="仿宋_GB2312" w:cs="Times New Roman"/>
          <w:sz w:val="30"/>
          <w:szCs w:val="30"/>
          <w:highlight w:val="none"/>
          <w:lang w:eastAsia="zh-CN"/>
        </w:rPr>
        <w:t>。</w:t>
      </w:r>
    </w:p>
    <w:p w14:paraId="798F37C0">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eastAsia="zh-CN"/>
        </w:rPr>
        <w:t>我单位</w:t>
      </w: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年末</w:t>
      </w:r>
      <w:r>
        <w:rPr>
          <w:rFonts w:hint="eastAsia" w:ascii="仿宋_GB2312" w:hAnsi="Times New Roman" w:eastAsia="仿宋_GB2312" w:cs="Times New Roman"/>
          <w:sz w:val="30"/>
          <w:szCs w:val="30"/>
          <w:highlight w:val="none"/>
          <w:lang w:eastAsia="zh-CN"/>
        </w:rPr>
        <w:t>其他人员</w:t>
      </w:r>
      <w:r>
        <w:rPr>
          <w:rFonts w:hint="eastAsia" w:ascii="仿宋_GB2312" w:hAnsi="Times New Roman" w:eastAsia="仿宋_GB2312" w:cs="Times New Roman"/>
          <w:sz w:val="30"/>
          <w:szCs w:val="30"/>
          <w:highlight w:val="none"/>
          <w:lang w:val="en-US" w:eastAsia="zh-CN"/>
        </w:rPr>
        <w:t>60人。包括财政拨款开支经费的人员60</w:t>
      </w:r>
      <w:r>
        <w:rPr>
          <w:rFonts w:hint="eastAsia" w:ascii="仿宋_GB2312" w:hAnsi="Times New Roman" w:eastAsia="仿宋_GB2312" w:cs="Times New Roman"/>
          <w:sz w:val="30"/>
          <w:szCs w:val="30"/>
          <w:highlight w:val="none"/>
          <w:lang w:eastAsia="zh-CN"/>
        </w:rPr>
        <w:t>人；经费自理人员</w:t>
      </w:r>
      <w:r>
        <w:rPr>
          <w:rFonts w:hint="eastAsia" w:ascii="仿宋_GB2312" w:hAnsi="Times New Roman" w:eastAsia="仿宋_GB2312" w:cs="Times New Roman"/>
          <w:sz w:val="30"/>
          <w:szCs w:val="30"/>
          <w:highlight w:val="none"/>
          <w:lang w:val="en-US" w:eastAsia="zh-CN"/>
        </w:rPr>
        <w:t>0</w:t>
      </w:r>
      <w:r>
        <w:rPr>
          <w:rFonts w:hint="eastAsia" w:ascii="仿宋_GB2312" w:hAnsi="Times New Roman" w:eastAsia="仿宋_GB2312" w:cs="Times New Roman"/>
          <w:sz w:val="30"/>
          <w:szCs w:val="30"/>
          <w:highlight w:val="none"/>
          <w:lang w:eastAsia="zh-CN"/>
        </w:rPr>
        <w:t>人。</w:t>
      </w:r>
    </w:p>
    <w:p w14:paraId="66C52EEA">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default"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eastAsia="zh-CN"/>
        </w:rPr>
        <w:t>年末尚未移交</w:t>
      </w:r>
      <w:r>
        <w:rPr>
          <w:rFonts w:hint="eastAsia" w:ascii="仿宋_GB2312" w:hAnsi="Times New Roman" w:eastAsia="仿宋_GB2312" w:cs="Times New Roman"/>
          <w:sz w:val="30"/>
          <w:szCs w:val="30"/>
          <w:highlight w:val="none"/>
        </w:rPr>
        <w:t>养老保险基金发放养老金的离退休人员</w:t>
      </w:r>
      <w:r>
        <w:rPr>
          <w:rFonts w:hint="eastAsia" w:ascii="仿宋_GB2312" w:hAnsi="Times New Roman" w:eastAsia="仿宋_GB2312" w:cs="Times New Roman"/>
          <w:sz w:val="30"/>
          <w:szCs w:val="30"/>
          <w:highlight w:val="none"/>
          <w:lang w:eastAsia="zh-CN"/>
        </w:rPr>
        <w:t>共计</w:t>
      </w:r>
      <w:r>
        <w:rPr>
          <w:rFonts w:hint="eastAsia" w:ascii="仿宋_GB2312" w:hAnsi="Times New Roman" w:eastAsia="仿宋_GB2312" w:cs="Times New Roman"/>
          <w:sz w:val="30"/>
          <w:szCs w:val="30"/>
          <w:highlight w:val="none"/>
          <w:lang w:val="en-US" w:eastAsia="zh-CN"/>
        </w:rPr>
        <w:t>0</w:t>
      </w:r>
      <w:r>
        <w:rPr>
          <w:rFonts w:hint="eastAsia" w:ascii="仿宋_GB2312" w:hAnsi="Times New Roman" w:eastAsia="仿宋_GB2312" w:cs="Times New Roman"/>
          <w:sz w:val="30"/>
          <w:szCs w:val="30"/>
          <w:highlight w:val="none"/>
        </w:rPr>
        <w:t>人</w:t>
      </w:r>
      <w:r>
        <w:rPr>
          <w:rFonts w:hint="eastAsia" w:ascii="仿宋_GB2312" w:hAnsi="Times New Roman" w:eastAsia="仿宋_GB2312" w:cs="Times New Roman"/>
          <w:sz w:val="30"/>
          <w:szCs w:val="30"/>
          <w:highlight w:val="none"/>
          <w:lang w:eastAsia="zh-CN"/>
        </w:rPr>
        <w:t>（</w:t>
      </w:r>
      <w:r>
        <w:rPr>
          <w:rFonts w:hint="eastAsia" w:ascii="仿宋_GB2312" w:hAnsi="Times New Roman" w:eastAsia="仿宋_GB2312" w:cs="Times New Roman"/>
          <w:sz w:val="30"/>
          <w:szCs w:val="30"/>
          <w:highlight w:val="none"/>
        </w:rPr>
        <w:t>离休</w:t>
      </w:r>
      <w:r>
        <w:rPr>
          <w:rFonts w:hint="eastAsia" w:ascii="仿宋_GB2312" w:hAnsi="Times New Roman" w:eastAsia="仿宋_GB2312" w:cs="Times New Roman"/>
          <w:sz w:val="30"/>
          <w:szCs w:val="30"/>
          <w:highlight w:val="none"/>
          <w:lang w:val="en-US" w:eastAsia="zh-CN"/>
        </w:rPr>
        <w:t>0</w:t>
      </w:r>
      <w:r>
        <w:rPr>
          <w:rFonts w:hint="eastAsia" w:ascii="仿宋_GB2312" w:hAnsi="Times New Roman" w:eastAsia="仿宋_GB2312" w:cs="Times New Roman"/>
          <w:sz w:val="30"/>
          <w:szCs w:val="30"/>
          <w:highlight w:val="none"/>
        </w:rPr>
        <w:t>人，退休</w:t>
      </w:r>
      <w:r>
        <w:rPr>
          <w:rFonts w:hint="eastAsia" w:ascii="仿宋_GB2312" w:hAnsi="Times New Roman" w:eastAsia="仿宋_GB2312" w:cs="Times New Roman"/>
          <w:sz w:val="30"/>
          <w:szCs w:val="30"/>
          <w:highlight w:val="none"/>
          <w:lang w:val="en-US" w:eastAsia="zh-CN"/>
        </w:rPr>
        <w:t>0</w:t>
      </w:r>
      <w:r>
        <w:rPr>
          <w:rFonts w:hint="eastAsia" w:ascii="仿宋_GB2312" w:hAnsi="Times New Roman" w:eastAsia="仿宋_GB2312" w:cs="Times New Roman"/>
          <w:sz w:val="30"/>
          <w:szCs w:val="30"/>
          <w:highlight w:val="none"/>
        </w:rPr>
        <w:t>人</w:t>
      </w:r>
      <w:r>
        <w:rPr>
          <w:rFonts w:hint="eastAsia" w:ascii="仿宋_GB2312" w:hAnsi="Times New Roman" w:eastAsia="仿宋_GB2312" w:cs="Times New Roman"/>
          <w:sz w:val="30"/>
          <w:szCs w:val="30"/>
          <w:highlight w:val="none"/>
          <w:lang w:eastAsia="zh-CN"/>
        </w:rPr>
        <w:t>）。年末</w:t>
      </w:r>
      <w:r>
        <w:rPr>
          <w:rFonts w:hint="eastAsia" w:ascii="仿宋_GB2312" w:hAnsi="Times New Roman" w:eastAsia="仿宋_GB2312" w:cs="Times New Roman"/>
          <w:sz w:val="30"/>
          <w:szCs w:val="30"/>
          <w:highlight w:val="none"/>
        </w:rPr>
        <w:t>由养老保险基金发放养老金的离退休人员</w:t>
      </w:r>
      <w:r>
        <w:rPr>
          <w:rFonts w:hint="eastAsia" w:ascii="仿宋_GB2312" w:hAnsi="Times New Roman" w:eastAsia="仿宋_GB2312" w:cs="Times New Roman"/>
          <w:sz w:val="30"/>
          <w:szCs w:val="30"/>
          <w:highlight w:val="none"/>
          <w:lang w:val="en-US" w:eastAsia="zh-CN"/>
        </w:rPr>
        <w:t>40人</w:t>
      </w:r>
      <w:r>
        <w:rPr>
          <w:rFonts w:hint="eastAsia" w:ascii="仿宋_GB2312" w:hAnsi="Times New Roman" w:eastAsia="仿宋_GB2312" w:cs="Times New Roman"/>
          <w:sz w:val="30"/>
          <w:szCs w:val="30"/>
          <w:highlight w:val="none"/>
          <w:lang w:eastAsia="zh-CN"/>
        </w:rPr>
        <w:t>（</w:t>
      </w:r>
      <w:r>
        <w:rPr>
          <w:rFonts w:hint="eastAsia" w:ascii="仿宋_GB2312" w:hAnsi="Times New Roman" w:eastAsia="仿宋_GB2312" w:cs="Times New Roman"/>
          <w:sz w:val="30"/>
          <w:szCs w:val="30"/>
          <w:highlight w:val="none"/>
        </w:rPr>
        <w:t>离休</w:t>
      </w:r>
      <w:r>
        <w:rPr>
          <w:rFonts w:hint="eastAsia" w:ascii="仿宋_GB2312" w:hAnsi="Times New Roman" w:eastAsia="仿宋_GB2312" w:cs="Times New Roman"/>
          <w:sz w:val="30"/>
          <w:szCs w:val="30"/>
          <w:highlight w:val="none"/>
          <w:lang w:val="en-US" w:eastAsia="zh-CN"/>
        </w:rPr>
        <w:t>0</w:t>
      </w:r>
      <w:r>
        <w:rPr>
          <w:rFonts w:hint="eastAsia" w:ascii="仿宋_GB2312" w:hAnsi="Times New Roman" w:eastAsia="仿宋_GB2312" w:cs="Times New Roman"/>
          <w:sz w:val="30"/>
          <w:szCs w:val="30"/>
          <w:highlight w:val="none"/>
        </w:rPr>
        <w:t>人，退休</w:t>
      </w:r>
      <w:r>
        <w:rPr>
          <w:rFonts w:hint="eastAsia" w:ascii="仿宋_GB2312" w:hAnsi="Times New Roman" w:eastAsia="仿宋_GB2312" w:cs="Times New Roman"/>
          <w:sz w:val="30"/>
          <w:szCs w:val="30"/>
          <w:highlight w:val="none"/>
          <w:lang w:val="en-US" w:eastAsia="zh-CN"/>
        </w:rPr>
        <w:t>40</w:t>
      </w:r>
      <w:r>
        <w:rPr>
          <w:rFonts w:hint="eastAsia" w:ascii="仿宋_GB2312" w:hAnsi="Times New Roman" w:eastAsia="仿宋_GB2312" w:cs="Times New Roman"/>
          <w:sz w:val="30"/>
          <w:szCs w:val="30"/>
          <w:highlight w:val="none"/>
        </w:rPr>
        <w:t>人</w:t>
      </w:r>
      <w:r>
        <w:rPr>
          <w:rFonts w:hint="eastAsia" w:ascii="仿宋_GB2312" w:hAnsi="Times New Roman" w:eastAsia="仿宋_GB2312" w:cs="Times New Roman"/>
          <w:sz w:val="30"/>
          <w:szCs w:val="30"/>
          <w:highlight w:val="none"/>
          <w:lang w:eastAsia="zh-CN"/>
        </w:rPr>
        <w:t>）</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val="en-US" w:eastAsia="zh-CN"/>
        </w:rPr>
        <w:t>年末学生6351人。年末遗属0人。</w:t>
      </w:r>
    </w:p>
    <w:p w14:paraId="5A1FE311">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lang w:val="en-US" w:eastAsia="zh-CN"/>
        </w:rPr>
        <w:t>车辆编制5辆，在编实有车辆3辆，超编0辆。</w:t>
      </w:r>
    </w:p>
    <w:p w14:paraId="195CB6B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1"/>
        <w:rPr>
          <w:rFonts w:hint="eastAsia" w:ascii="黑体" w:hAnsi="黑体" w:eastAsia="黑体"/>
          <w:sz w:val="30"/>
          <w:szCs w:val="30"/>
          <w:highlight w:val="none"/>
          <w:lang w:eastAsia="zh-CN"/>
        </w:rPr>
      </w:pPr>
      <w:r>
        <w:rPr>
          <w:rFonts w:hint="eastAsia" w:ascii="黑体" w:hAnsi="黑体" w:eastAsia="黑体"/>
          <w:sz w:val="30"/>
          <w:szCs w:val="30"/>
          <w:highlight w:val="none"/>
          <w:lang w:eastAsia="zh-CN"/>
        </w:rPr>
        <w:t>三、重点工作概述</w:t>
      </w:r>
    </w:p>
    <w:p w14:paraId="4DE44E8A">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cs="Times New Roman"/>
          <w:sz w:val="30"/>
          <w:szCs w:val="30"/>
          <w:highlight w:val="none"/>
          <w:lang w:val="en-US" w:eastAsia="zh-CN"/>
        </w:rPr>
      </w:pPr>
      <w:r>
        <w:rPr>
          <w:rFonts w:hint="eastAsia" w:ascii="楷体" w:hAnsi="楷体" w:eastAsia="楷体" w:cs="Times New Roman"/>
          <w:sz w:val="30"/>
          <w:szCs w:val="30"/>
          <w:highlight w:val="none"/>
          <w:lang w:val="en-US" w:eastAsia="zh-CN"/>
        </w:rPr>
        <w:t>（一）党建工作</w:t>
      </w:r>
    </w:p>
    <w:p w14:paraId="54802E40">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1.坚持和加强党的全面领导。</w:t>
      </w:r>
    </w:p>
    <w:p w14:paraId="2F37D1E9">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一是认真贯彻落实党中央重大决策部署和省委、省委教育工委和云南师范大学党委工作要求。努力办好人民满意的基础教育，落实师大党委第十三次党代会目标任务和151战略行动计划，服务教育强国、教育强省建设和云南“3815”战略发展目标。二是认真贯彻执行中小学校党组织领导的校长负责制。落实学校党委会议、校长办公会议议事规则，建立党委书记和校长定期沟通制度、班子成员经常性沟通协调制度，支持和保证校长依法依规行使职权。三是加强党对群团工作的领导。强化党建带群建、团建、队建。</w:t>
      </w:r>
    </w:p>
    <w:p w14:paraId="1E991A17">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2.持续强化理论武装。</w:t>
      </w:r>
    </w:p>
    <w:p w14:paraId="45C8C422">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一是坚持用习近平新时代中国特色社会主义思想铸魂育人。截止目前共组织党委理论学习中心组集中学习8次、教职工政治理论学习10次、党支部“主题党日”学习10次，各项指标完成率是100%。开展“万名党员进党校”培训4次，举办党务工作者能力素质提升培训班2期。二是深入学习贯彻党的二十届三中全会和全国教育大会精神。组建高中9门学科教师精英团队到贡山一中开展送教帮扶工作，助力怒江州补齐教育短板。落实“五育并举”要求，举办体育节、科技节、阅读节系列活动。三是守正创新做好学校思想政治工作。创新思政课形式，开展“行走的思政课”研学实践系列活动。落实“1530”安全教育模式和校园安全维稳值班制度，推进月度绩效考核评价改革。</w:t>
      </w:r>
    </w:p>
    <w:p w14:paraId="74A6EE32">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3.持续强化组织干部队伍建设。</w:t>
      </w:r>
    </w:p>
    <w:p w14:paraId="76C84A45">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一是加强基层党建工作。持续深化党支部书记“双带头人”建设，加强教学与党务工作协调，推动党建与业务有机融合。严格发展党员工作流程。二是加强干部队伍建设。配合师大党委完成了干部调研、处级领导班子和领导干部任期满履职考核、干部民主推荐考察等工作。三是加强党建引领推动学校高质量发展。2024年高考一本率63.25%,创历史新高，中考一级完中上线人数和普高上线人数创近五年新高，小学四至六年级参加区级统测科目成绩均高于全区平均分，幼儿园市级体质测查优秀率为78%、优良率为100%。</w:t>
      </w:r>
    </w:p>
    <w:p w14:paraId="58E7701E">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4.推进全面从严治党向纵深发展。</w:t>
      </w:r>
    </w:p>
    <w:p w14:paraId="5F040234">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一是纵深推进清廉学校建设。制定清廉学校建设计划，排查费用收支以及职能部门在招生、招聘、招标、采购、工程等方面的廉政风险点49个，建立资产、采购、内控等制度18项。二是深入推进党纪学习教育。学校党委统一印发党纪学习教育实施方案，通过“三会一课”、检查学习笔记、交流发言等形式，逐章逐条推进学习进度，抓好集中学习和个人自学。三是落实意识形态工作责任制。</w:t>
      </w:r>
      <w:bookmarkStart w:id="0" w:name="OLE_LINK1"/>
      <w:r>
        <w:rPr>
          <w:rFonts w:hint="eastAsia" w:ascii="仿宋_GB2312" w:hAnsi="Times New Roman" w:eastAsia="仿宋_GB2312" w:cs="Times New Roman"/>
          <w:sz w:val="30"/>
          <w:szCs w:val="30"/>
          <w:highlight w:val="none"/>
          <w:lang w:val="en-US" w:eastAsia="zh-CN"/>
        </w:rPr>
        <w:t>召开意识形态工作专题会议4次，贯彻落实《中共云南师范大学委员会2024年意识形态工作责任清单》。</w:t>
      </w:r>
      <w:bookmarkEnd w:id="0"/>
      <w:r>
        <w:rPr>
          <w:rFonts w:hint="eastAsia" w:ascii="仿宋_GB2312" w:hAnsi="Times New Roman" w:eastAsia="仿宋_GB2312" w:cs="Times New Roman"/>
          <w:sz w:val="30"/>
          <w:szCs w:val="30"/>
          <w:highlight w:val="none"/>
          <w:lang w:val="en-US" w:eastAsia="zh-CN"/>
        </w:rPr>
        <w:t>四是持续加强师德师风建设。开展“师德教育月”主题演讲比赛和教师集中宣誓活动，组织全校教职工签订师德师风承诺书，在各学段家长中开展师德师风线上问卷调查。</w:t>
      </w:r>
    </w:p>
    <w:p w14:paraId="6D3BE368">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5.持续推进巡视巡察整改。</w:t>
      </w:r>
    </w:p>
    <w:p w14:paraId="700E1555">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一是对巡视巡察反馈问题进行认真整改。主动履行整改责任，在整改上发力，推动整改落实见实效。二是持续抓好巡视巡察整改“后半篇文章”。深化整改成果运用，坚持以巡促改、以巡促建、以巡促治。</w:t>
      </w:r>
    </w:p>
    <w:p w14:paraId="4093533C">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cs="Times New Roman"/>
          <w:sz w:val="30"/>
          <w:szCs w:val="30"/>
          <w:highlight w:val="none"/>
          <w:lang w:val="en-US" w:eastAsia="zh-CN"/>
        </w:rPr>
      </w:pPr>
      <w:r>
        <w:rPr>
          <w:rFonts w:hint="eastAsia" w:ascii="楷体" w:hAnsi="楷体" w:eastAsia="楷体" w:cs="Times New Roman"/>
          <w:sz w:val="30"/>
          <w:szCs w:val="30"/>
          <w:highlight w:val="none"/>
          <w:lang w:val="en-US" w:eastAsia="zh-CN"/>
        </w:rPr>
        <w:t>（二）行政工作</w:t>
      </w:r>
    </w:p>
    <w:p w14:paraId="3204E27E">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1.立德有为，完善育人体系</w:t>
      </w:r>
    </w:p>
    <w:p w14:paraId="2B3DDF56">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学校紧紧围绕“立德树人”的根本任务，五育并举，多途径开展活动，培养德智体美劳全面发展的时代新人。</w:t>
      </w:r>
    </w:p>
    <w:p w14:paraId="4E2E48E7">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在课程建设方面，学校根据学段年级特点，开设精品项目体育选修课程。以赛代练，以赛促建，在昆明市的多项比赛中获得优异成绩；将科技创新教育融入学校课程，在课外活动课、学生校本选修课、高中通用技术实验课等多种形式中不断摸索，建设一体化科创教育课程；初中</w:t>
      </w:r>
      <w:r>
        <w:rPr>
          <w:rFonts w:hint="eastAsia" w:ascii="仿宋_GB2312" w:hAnsi="Times New Roman" w:eastAsia="仿宋_GB2312" w:cs="Times New Roman"/>
          <w:sz w:val="30"/>
          <w:szCs w:val="30"/>
          <w:highlight w:val="none"/>
          <w:lang w:val="zh-CN" w:eastAsia="zh-CN"/>
        </w:rPr>
        <w:t>开设</w:t>
      </w:r>
      <w:r>
        <w:rPr>
          <w:rFonts w:hint="eastAsia" w:ascii="仿宋_GB2312" w:hAnsi="Times New Roman" w:eastAsia="仿宋_GB2312" w:cs="Times New Roman"/>
          <w:sz w:val="30"/>
          <w:szCs w:val="30"/>
          <w:highlight w:val="none"/>
          <w:lang w:val="en-US" w:eastAsia="zh-CN"/>
        </w:rPr>
        <w:t>首届</w:t>
      </w:r>
      <w:r>
        <w:rPr>
          <w:rFonts w:hint="eastAsia" w:ascii="仿宋_GB2312" w:hAnsi="Times New Roman" w:eastAsia="仿宋_GB2312" w:cs="Times New Roman"/>
          <w:sz w:val="30"/>
          <w:szCs w:val="30"/>
          <w:highlight w:val="none"/>
          <w:lang w:val="zh-CN" w:eastAsia="zh-CN"/>
        </w:rPr>
        <w:t>交响管乐</w:t>
      </w:r>
      <w:r>
        <w:rPr>
          <w:rFonts w:hint="eastAsia" w:ascii="仿宋_GB2312" w:hAnsi="Times New Roman" w:eastAsia="仿宋_GB2312" w:cs="Times New Roman"/>
          <w:sz w:val="30"/>
          <w:szCs w:val="30"/>
          <w:highlight w:val="none"/>
          <w:lang w:val="en-US" w:eastAsia="zh-CN"/>
        </w:rPr>
        <w:t>班</w:t>
      </w:r>
      <w:r>
        <w:rPr>
          <w:rFonts w:hint="eastAsia" w:ascii="仿宋_GB2312" w:hAnsi="Times New Roman" w:eastAsia="仿宋_GB2312" w:cs="Times New Roman"/>
          <w:sz w:val="30"/>
          <w:szCs w:val="30"/>
          <w:highlight w:val="none"/>
          <w:lang w:val="zh-CN" w:eastAsia="zh-CN"/>
        </w:rPr>
        <w:t>、</w:t>
      </w:r>
      <w:r>
        <w:rPr>
          <w:rFonts w:hint="eastAsia" w:ascii="仿宋_GB2312" w:hAnsi="Times New Roman" w:eastAsia="仿宋_GB2312" w:cs="Times New Roman"/>
          <w:sz w:val="30"/>
          <w:szCs w:val="30"/>
          <w:highlight w:val="none"/>
          <w:lang w:val="en-US" w:eastAsia="zh-CN"/>
        </w:rPr>
        <w:t>合唱特色班，小学成立合唱团、交响管乐团，</w:t>
      </w:r>
      <w:r>
        <w:rPr>
          <w:rFonts w:hint="eastAsia" w:ascii="仿宋_GB2312" w:hAnsi="Times New Roman" w:eastAsia="仿宋_GB2312" w:cs="Times New Roman"/>
          <w:sz w:val="30"/>
          <w:szCs w:val="30"/>
          <w:highlight w:val="none"/>
          <w:lang w:val="zh-CN" w:eastAsia="zh-CN"/>
        </w:rPr>
        <w:t>创新美育教学</w:t>
      </w:r>
      <w:r>
        <w:rPr>
          <w:rFonts w:hint="eastAsia" w:ascii="仿宋_GB2312" w:hAnsi="Times New Roman" w:eastAsia="仿宋_GB2312" w:cs="Times New Roman"/>
          <w:sz w:val="30"/>
          <w:szCs w:val="30"/>
          <w:highlight w:val="none"/>
          <w:lang w:val="en-US" w:eastAsia="zh-CN"/>
        </w:rPr>
        <w:t>课程</w:t>
      </w:r>
      <w:r>
        <w:rPr>
          <w:rFonts w:hint="eastAsia" w:ascii="仿宋_GB2312" w:hAnsi="Times New Roman" w:eastAsia="仿宋_GB2312" w:cs="Times New Roman"/>
          <w:sz w:val="30"/>
          <w:szCs w:val="30"/>
          <w:highlight w:val="none"/>
          <w:lang w:val="zh-CN" w:eastAsia="zh-CN"/>
        </w:rPr>
        <w:t>模式；</w:t>
      </w:r>
      <w:r>
        <w:rPr>
          <w:rFonts w:hint="eastAsia" w:ascii="仿宋_GB2312" w:hAnsi="Times New Roman" w:eastAsia="仿宋_GB2312" w:cs="Times New Roman"/>
          <w:sz w:val="30"/>
          <w:szCs w:val="30"/>
          <w:highlight w:val="none"/>
          <w:lang w:val="en-US" w:eastAsia="zh-CN"/>
        </w:rPr>
        <w:t>组织全学段14个年级学生开展劳动教育，筑牢民族共同体教育，科技教育等主题丰富的外出研学实践系列活动，开发“生态+”劳动课程体系。</w:t>
      </w:r>
    </w:p>
    <w:p w14:paraId="5FC3FE30">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在课外活动方面，学校遵循学段学生身心发展规律和特点，全学段围绕学校每月的德育主题，丰富德育内容，创新德育载体，开展形式多样、主题鲜明的教育活动，通过“四节一舞台”（体育节、艺术节、读书节、科技节、校园小舞台），学雷锋日、植树节、“气象日”活动、六一儿童节、毕业典礼等活动浸润育人。</w:t>
      </w:r>
    </w:p>
    <w:p w14:paraId="3A792947">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2.科研引领，提升育人质量</w:t>
      </w:r>
    </w:p>
    <w:p w14:paraId="666BACB9">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加强教师培训，组织全体教师参加寒假、暑假研修班学习；每学期开学进行校本培训 ；</w:t>
      </w:r>
      <w:r>
        <w:rPr>
          <w:rFonts w:hint="eastAsia" w:ascii="仿宋_GB2312" w:hAnsi="Times New Roman" w:eastAsia="仿宋_GB2312" w:cs="Times New Roman"/>
          <w:sz w:val="30"/>
          <w:szCs w:val="30"/>
          <w:highlight w:val="none"/>
          <w:lang w:val="zh-CN" w:eastAsia="zh-CN"/>
        </w:rPr>
        <w:t>先后派出</w:t>
      </w:r>
      <w:r>
        <w:rPr>
          <w:rFonts w:hint="eastAsia" w:ascii="仿宋_GB2312" w:hAnsi="Times New Roman" w:eastAsia="仿宋_GB2312" w:cs="Times New Roman"/>
          <w:sz w:val="30"/>
          <w:szCs w:val="30"/>
          <w:highlight w:val="none"/>
          <w:lang w:val="en-US" w:eastAsia="zh-CN"/>
        </w:rPr>
        <w:t>不同学段14批100余</w:t>
      </w:r>
      <w:r>
        <w:rPr>
          <w:rFonts w:hint="eastAsia" w:ascii="仿宋_GB2312" w:hAnsi="Times New Roman" w:eastAsia="仿宋_GB2312" w:cs="Times New Roman"/>
          <w:sz w:val="30"/>
          <w:szCs w:val="30"/>
          <w:highlight w:val="none"/>
          <w:lang w:val="zh-CN" w:eastAsia="zh-CN"/>
        </w:rPr>
        <w:t>人参加省内外</w:t>
      </w:r>
      <w:r>
        <w:rPr>
          <w:rFonts w:hint="eastAsia" w:ascii="仿宋_GB2312" w:hAnsi="Times New Roman" w:eastAsia="仿宋_GB2312" w:cs="Times New Roman"/>
          <w:sz w:val="30"/>
          <w:szCs w:val="30"/>
          <w:highlight w:val="none"/>
          <w:lang w:val="en-US" w:eastAsia="zh-CN"/>
        </w:rPr>
        <w:t>学习，发挥十五年一体化办学特色，进行学段联合的一体化深度教研。</w:t>
      </w:r>
    </w:p>
    <w:p w14:paraId="1C410F3D">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搭建平台，积极推荐教师参加“学科带头人”“教学名师”等评选和各级各类竞赛。2024年共有6名教师分别被评为昆明市教学名师、市级学科带头人、市级骨干教师、市级教坛新秀。</w:t>
      </w:r>
    </w:p>
    <w:p w14:paraId="6BECB86B">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3.综合保障，优化育人环境</w:t>
      </w:r>
    </w:p>
    <w:p w14:paraId="162022A8">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落实安全保校，创建平安校园。组建学校安全护校队，每学期第一个月开展“安全教育月”系列活动，抓实每日值班工作和“1530”安全教育，每月召开安全工作例会，开展安全大排查，联合社区、交警、民警、消防队等部门对校园周边安全隐患进行排查、清理。</w:t>
      </w:r>
    </w:p>
    <w:p w14:paraId="57ADFBA5">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提升智能化建设，创建智慧校园。建设具有AI课堂分析的直录播教室5间；加强智慧办公平台建设，16个办事审批流程全面升级到企业微信平台；结合学校实际，建设一体化的智慧校园管理系统。</w:t>
      </w:r>
    </w:p>
    <w:p w14:paraId="4128E4B4">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加强后勤保障，创建美丽校园。完成校园足球场、中学段录播教室、4间中学自习室的升级改造；种草坪约300平米、补绿植约8000株，持续推进校园绿化美化工作；进一步规范采购、资产管理、食品安全等工作，完善食堂陪餐、办公用品采购等制度10余项；优化师生疾病诊疗工作，做好校园传染病和疫情常态防控工作；</w:t>
      </w:r>
    </w:p>
    <w:p w14:paraId="4A8774C6">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lang w:val="en-US" w:eastAsia="zh-CN"/>
        </w:rPr>
        <w:t>重视心理健康，创建“向上”校园。重视学生心理健康教育，不断完善幼小中心理健康课程设置。多形式落实学生心理健康工作：为学生提供专业心理健康咨询与服务，定期开展亲子活动构建良好家庭氛围。</w:t>
      </w:r>
    </w:p>
    <w:p w14:paraId="61ECE584">
      <w:pPr>
        <w:keepNext w:val="0"/>
        <w:keepLines w:val="0"/>
        <w:pageBreakBefore w:val="0"/>
        <w:widowControl w:val="0"/>
        <w:kinsoku/>
        <w:wordWrap/>
        <w:overflowPunct/>
        <w:topLinePunct w:val="0"/>
        <w:autoSpaceDE/>
        <w:autoSpaceDN/>
        <w:bidi w:val="0"/>
        <w:adjustRightInd/>
        <w:jc w:val="center"/>
        <w:textAlignment w:val="auto"/>
        <w:outlineLvl w:val="0"/>
        <w:rPr>
          <w:rFonts w:hint="eastAsia" w:ascii="黑体" w:hAnsi="黑体" w:eastAsia="黑体"/>
          <w:sz w:val="32"/>
          <w:szCs w:val="32"/>
          <w:highlight w:val="none"/>
        </w:rPr>
      </w:pPr>
      <w:r>
        <w:rPr>
          <w:rFonts w:hint="eastAsia" w:ascii="黑体" w:hAnsi="黑体" w:eastAsia="黑体"/>
          <w:sz w:val="32"/>
          <w:szCs w:val="32"/>
          <w:highlight w:val="none"/>
        </w:rPr>
        <w:t xml:space="preserve">第二部分  </w:t>
      </w:r>
      <w:r>
        <w:rPr>
          <w:rFonts w:hint="eastAsia" w:ascii="黑体" w:hAnsi="黑体" w:eastAsia="黑体"/>
          <w:sz w:val="32"/>
          <w:szCs w:val="32"/>
          <w:highlight w:val="none"/>
          <w:lang w:val="en-US" w:eastAsia="zh-CN"/>
        </w:rPr>
        <w:t>2024</w:t>
      </w:r>
      <w:r>
        <w:rPr>
          <w:rFonts w:hint="eastAsia" w:ascii="黑体" w:hAnsi="黑体" w:eastAsia="黑体"/>
          <w:sz w:val="32"/>
          <w:szCs w:val="32"/>
          <w:highlight w:val="none"/>
        </w:rPr>
        <w:t>年度部门决算表</w:t>
      </w:r>
    </w:p>
    <w:p w14:paraId="04BB63AE">
      <w:pPr>
        <w:keepNext w:val="0"/>
        <w:keepLines w:val="0"/>
        <w:pageBreakBefore w:val="0"/>
        <w:widowControl w:val="0"/>
        <w:kinsoku/>
        <w:wordWrap/>
        <w:overflowPunct/>
        <w:topLinePunct w:val="0"/>
        <w:autoSpaceDE/>
        <w:autoSpaceDN/>
        <w:bidi w:val="0"/>
        <w:adjustRightInd/>
        <w:spacing w:line="600" w:lineRule="exact"/>
        <w:ind w:firstLine="600" w:firstLineChars="200"/>
        <w:jc w:val="center"/>
        <w:textAlignment w:val="auto"/>
        <w:outlineLvl w:val="1"/>
        <w:rPr>
          <w:rFonts w:hint="eastAsia" w:ascii="仿宋_GB2312" w:eastAsia="仿宋_GB2312"/>
          <w:sz w:val="30"/>
          <w:szCs w:val="30"/>
          <w:highlight w:val="none"/>
          <w:lang w:eastAsia="zh-CN"/>
        </w:rPr>
      </w:pPr>
      <w:r>
        <w:rPr>
          <w:rFonts w:hint="eastAsia" w:ascii="仿宋_GB2312" w:eastAsia="仿宋_GB2312"/>
          <w:sz w:val="30"/>
          <w:szCs w:val="30"/>
          <w:highlight w:val="none"/>
        </w:rPr>
        <w:t>（详见附件）</w:t>
      </w:r>
    </w:p>
    <w:p w14:paraId="25278CFB">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云南师范大学附属世纪金源学校2024年度无政府性基金收入，也没有使用政府性基金安排的支出，故《政府性基金预算财政拨款收入支出决算表》无数据。</w:t>
      </w:r>
    </w:p>
    <w:p w14:paraId="4C51631E">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eastAsia="zh-CN"/>
        </w:rPr>
      </w:pPr>
      <w:r>
        <w:rPr>
          <w:rFonts w:hint="eastAsia" w:ascii="仿宋_GB2312" w:hAnsi="Times New Roman" w:eastAsia="仿宋_GB2312" w:cs="Times New Roman"/>
          <w:sz w:val="30"/>
          <w:szCs w:val="30"/>
          <w:highlight w:val="none"/>
          <w:lang w:val="en-US" w:eastAsia="zh-CN"/>
        </w:rPr>
        <w:t>云南师范大学附属世纪金源学校2024年度无国有资本经营预算收入，也没有国有资本经营预算安排的支出，故《国有资本经营预算财政拨款收入支出决算表》无数据。</w:t>
      </w:r>
    </w:p>
    <w:p w14:paraId="147FBD1C">
      <w:pPr>
        <w:keepNext w:val="0"/>
        <w:keepLines w:val="0"/>
        <w:pageBreakBefore w:val="0"/>
        <w:widowControl w:val="0"/>
        <w:kinsoku/>
        <w:wordWrap/>
        <w:overflowPunct/>
        <w:topLinePunct w:val="0"/>
        <w:autoSpaceDE/>
        <w:autoSpaceDN/>
        <w:bidi w:val="0"/>
        <w:adjustRightInd/>
        <w:jc w:val="center"/>
        <w:textAlignment w:val="auto"/>
        <w:outlineLvl w:val="0"/>
        <w:rPr>
          <w:rFonts w:hint="eastAsia" w:ascii="黑体" w:hAnsi="黑体" w:eastAsia="黑体"/>
          <w:sz w:val="32"/>
          <w:szCs w:val="32"/>
          <w:highlight w:val="none"/>
        </w:rPr>
      </w:pPr>
      <w:r>
        <w:rPr>
          <w:rFonts w:hint="eastAsia" w:ascii="黑体" w:hAnsi="黑体" w:eastAsia="黑体"/>
          <w:sz w:val="32"/>
          <w:szCs w:val="32"/>
          <w:highlight w:val="none"/>
        </w:rPr>
        <w:t>第三部</w:t>
      </w:r>
      <w:r>
        <w:rPr>
          <w:rFonts w:hint="eastAsia" w:ascii="黑体" w:hAnsi="黑体" w:eastAsia="黑体"/>
          <w:sz w:val="32"/>
          <w:szCs w:val="32"/>
          <w:highlight w:val="none"/>
          <w:lang w:eastAsia="zh-CN"/>
        </w:rPr>
        <w:t>分</w:t>
      </w:r>
      <w:r>
        <w:rPr>
          <w:rFonts w:hint="eastAsia" w:ascii="黑体" w:hAnsi="黑体" w:eastAsia="黑体"/>
          <w:sz w:val="32"/>
          <w:szCs w:val="32"/>
          <w:highlight w:val="none"/>
        </w:rPr>
        <w:t xml:space="preserve">  </w:t>
      </w:r>
      <w:r>
        <w:rPr>
          <w:rFonts w:hint="eastAsia" w:ascii="黑体" w:hAnsi="黑体" w:eastAsia="黑体"/>
          <w:sz w:val="32"/>
          <w:szCs w:val="32"/>
          <w:highlight w:val="none"/>
          <w:lang w:val="en-US" w:eastAsia="zh-CN"/>
        </w:rPr>
        <w:t>2024</w:t>
      </w:r>
      <w:r>
        <w:rPr>
          <w:rFonts w:hint="eastAsia" w:ascii="黑体" w:hAnsi="黑体" w:eastAsia="黑体"/>
          <w:sz w:val="32"/>
          <w:szCs w:val="32"/>
          <w:highlight w:val="none"/>
        </w:rPr>
        <w:t>年度部门决算情况说明</w:t>
      </w:r>
    </w:p>
    <w:p w14:paraId="1968A6F0">
      <w:pPr>
        <w:keepNext w:val="0"/>
        <w:keepLines w:val="0"/>
        <w:pageBreakBefore w:val="0"/>
        <w:widowControl w:val="0"/>
        <w:kinsoku/>
        <w:wordWrap/>
        <w:overflowPunct/>
        <w:topLinePunct w:val="0"/>
        <w:autoSpaceDE/>
        <w:autoSpaceDN/>
        <w:bidi w:val="0"/>
        <w:adjustRightInd/>
        <w:ind w:firstLine="600" w:firstLineChars="200"/>
        <w:jc w:val="both"/>
        <w:textAlignment w:val="auto"/>
        <w:outlineLvl w:val="1"/>
        <w:rPr>
          <w:rFonts w:hint="eastAsia" w:ascii="黑体" w:hAnsi="黑体" w:eastAsia="黑体"/>
          <w:sz w:val="30"/>
          <w:szCs w:val="30"/>
          <w:highlight w:val="none"/>
        </w:rPr>
      </w:pPr>
      <w:r>
        <w:rPr>
          <w:rFonts w:hint="eastAsia" w:ascii="黑体" w:hAnsi="黑体" w:eastAsia="黑体"/>
          <w:sz w:val="30"/>
          <w:szCs w:val="30"/>
          <w:highlight w:val="none"/>
        </w:rPr>
        <w:t>一、收入决算情况说明</w:t>
      </w:r>
    </w:p>
    <w:p w14:paraId="4E9FE60E">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eastAsia="zh-CN"/>
        </w:rPr>
      </w:pPr>
      <w:r>
        <w:rPr>
          <w:rFonts w:hint="eastAsia" w:ascii="仿宋_GB2312" w:hAnsi="Times New Roman" w:eastAsia="仿宋_GB2312" w:cs="Times New Roman"/>
          <w:sz w:val="30"/>
          <w:szCs w:val="30"/>
          <w:highlight w:val="none"/>
          <w:lang w:val="zh-CN"/>
        </w:rPr>
        <w:t>云南师范大学附属世纪金源学校</w:t>
      </w: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年度收入合计</w:t>
      </w:r>
      <w:r>
        <w:rPr>
          <w:rFonts w:hint="eastAsia" w:ascii="仿宋_GB2312" w:hAnsi="Times New Roman" w:eastAsia="仿宋_GB2312" w:cs="Times New Roman"/>
          <w:sz w:val="30"/>
          <w:szCs w:val="30"/>
          <w:highlight w:val="none"/>
          <w:lang w:val="zh-CN"/>
        </w:rPr>
        <w:t>94623549.51</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。其中：财政拨款收入</w:t>
      </w:r>
      <w:r>
        <w:rPr>
          <w:rFonts w:hint="eastAsia" w:ascii="仿宋_GB2312" w:hAnsi="Times New Roman" w:eastAsia="仿宋_GB2312" w:cs="Times New Roman"/>
          <w:sz w:val="30"/>
          <w:szCs w:val="30"/>
          <w:highlight w:val="none"/>
          <w:lang w:val="zh-CN"/>
        </w:rPr>
        <w:t>89599934.59</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，占总收入的</w:t>
      </w:r>
      <w:r>
        <w:rPr>
          <w:rFonts w:hint="eastAsia" w:ascii="仿宋_GB2312" w:hAnsi="Times New Roman" w:eastAsia="仿宋_GB2312" w:cs="Times New Roman"/>
          <w:sz w:val="30"/>
          <w:szCs w:val="30"/>
          <w:highlight w:val="none"/>
          <w:lang w:val="zh-CN"/>
        </w:rPr>
        <w:t>94.69</w:t>
      </w:r>
      <w:r>
        <w:rPr>
          <w:rFonts w:hint="eastAsia" w:ascii="仿宋_GB2312" w:hAnsi="Times New Roman" w:eastAsia="仿宋_GB2312" w:cs="Times New Roman"/>
          <w:sz w:val="30"/>
          <w:szCs w:val="30"/>
          <w:highlight w:val="none"/>
        </w:rPr>
        <w:t>%；上级补助收入</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，占总收入的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%；事业收入</w:t>
      </w:r>
      <w:r>
        <w:rPr>
          <w:rFonts w:hint="eastAsia" w:ascii="仿宋_GB2312" w:hAnsi="Times New Roman" w:eastAsia="仿宋_GB2312" w:cs="Times New Roman"/>
          <w:sz w:val="30"/>
          <w:szCs w:val="30"/>
          <w:highlight w:val="none"/>
          <w:lang w:val="zh-CN"/>
        </w:rPr>
        <w:t>1558039.00</w:t>
      </w:r>
      <w:r>
        <w:rPr>
          <w:rFonts w:hint="eastAsia" w:ascii="仿宋_GB2312" w:hAnsi="Times New Roman" w:eastAsia="仿宋_GB2312" w:cs="Times New Roman"/>
          <w:sz w:val="30"/>
          <w:szCs w:val="30"/>
          <w:highlight w:val="none"/>
          <w:lang w:eastAsia="zh-CN"/>
        </w:rPr>
        <w:t>元（含教育收费</w:t>
      </w:r>
      <w:r>
        <w:rPr>
          <w:rFonts w:hint="eastAsia" w:ascii="仿宋_GB2312" w:hAnsi="Times New Roman" w:eastAsia="仿宋_GB2312" w:cs="Times New Roman"/>
          <w:sz w:val="30"/>
          <w:szCs w:val="30"/>
          <w:highlight w:val="none"/>
          <w:lang w:val="zh-CN"/>
        </w:rPr>
        <w:t>1558039.00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，占总收入的</w:t>
      </w:r>
      <w:r>
        <w:rPr>
          <w:rFonts w:hint="eastAsia" w:ascii="仿宋_GB2312" w:hAnsi="Times New Roman" w:eastAsia="仿宋_GB2312" w:cs="Times New Roman"/>
          <w:sz w:val="30"/>
          <w:szCs w:val="30"/>
          <w:highlight w:val="none"/>
          <w:lang w:val="zh-CN"/>
        </w:rPr>
        <w:t>1.65</w:t>
      </w:r>
      <w:r>
        <w:rPr>
          <w:rFonts w:hint="eastAsia" w:ascii="仿宋_GB2312" w:hAnsi="Times New Roman" w:eastAsia="仿宋_GB2312" w:cs="Times New Roman"/>
          <w:sz w:val="30"/>
          <w:szCs w:val="30"/>
          <w:highlight w:val="none"/>
        </w:rPr>
        <w:t>%；经营收入</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，占总收入的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%；附属单位</w:t>
      </w:r>
      <w:r>
        <w:rPr>
          <w:rFonts w:hint="eastAsia" w:ascii="仿宋_GB2312" w:hAnsi="Times New Roman" w:eastAsia="仿宋_GB2312" w:cs="Times New Roman"/>
          <w:sz w:val="30"/>
          <w:szCs w:val="30"/>
          <w:highlight w:val="none"/>
          <w:lang w:eastAsia="zh-CN"/>
        </w:rPr>
        <w:t>上缴</w:t>
      </w:r>
      <w:r>
        <w:rPr>
          <w:rFonts w:hint="eastAsia" w:ascii="仿宋_GB2312" w:hAnsi="Times New Roman" w:eastAsia="仿宋_GB2312" w:cs="Times New Roman"/>
          <w:sz w:val="30"/>
          <w:szCs w:val="30"/>
          <w:highlight w:val="none"/>
        </w:rPr>
        <w:t>收入</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，占总收入的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%；其他收入</w:t>
      </w:r>
      <w:r>
        <w:rPr>
          <w:rFonts w:hint="eastAsia" w:ascii="仿宋_GB2312" w:hAnsi="Times New Roman" w:eastAsia="仿宋_GB2312" w:cs="Times New Roman"/>
          <w:sz w:val="30"/>
          <w:szCs w:val="30"/>
          <w:highlight w:val="none"/>
          <w:lang w:val="zh-CN"/>
        </w:rPr>
        <w:t>3465575.92</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，占总收入的</w:t>
      </w:r>
      <w:r>
        <w:rPr>
          <w:rFonts w:hint="eastAsia" w:ascii="仿宋_GB2312" w:hAnsi="Times New Roman" w:eastAsia="仿宋_GB2312" w:cs="Times New Roman"/>
          <w:sz w:val="30"/>
          <w:szCs w:val="30"/>
          <w:highlight w:val="none"/>
          <w:lang w:val="zh-CN"/>
        </w:rPr>
        <w:t>3.66</w:t>
      </w:r>
      <w:r>
        <w:rPr>
          <w:rFonts w:hint="eastAsia" w:ascii="仿宋_GB2312" w:hAnsi="Times New Roman" w:eastAsia="仿宋_GB2312" w:cs="Times New Roman"/>
          <w:sz w:val="30"/>
          <w:szCs w:val="30"/>
          <w:highlight w:val="none"/>
        </w:rPr>
        <w:t>%。</w:t>
      </w:r>
    </w:p>
    <w:p w14:paraId="1D9572A4">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宋体" w:eastAsia="仿宋_GB2312" w:cs="Arial"/>
          <w:color w:val="FF0000"/>
          <w:kern w:val="0"/>
          <w:sz w:val="30"/>
          <w:szCs w:val="30"/>
          <w:highlight w:val="none"/>
        </w:rPr>
      </w:pPr>
      <w:r>
        <w:rPr>
          <w:rFonts w:hint="eastAsia" w:ascii="仿宋_GB2312" w:hAnsi="Times New Roman" w:eastAsia="仿宋_GB2312" w:cs="Times New Roman"/>
          <w:sz w:val="30"/>
          <w:szCs w:val="30"/>
          <w:highlight w:val="none"/>
        </w:rPr>
        <w:t>与上年</w:t>
      </w:r>
      <w:r>
        <w:rPr>
          <w:rFonts w:hint="eastAsia" w:ascii="仿宋_GB2312" w:hAnsi="Times New Roman" w:eastAsia="仿宋_GB2312" w:cs="Times New Roman"/>
          <w:sz w:val="30"/>
          <w:szCs w:val="30"/>
          <w:highlight w:val="none"/>
          <w:lang w:eastAsia="zh-CN"/>
        </w:rPr>
        <w:t>相比，</w:t>
      </w:r>
      <w:r>
        <w:rPr>
          <w:rFonts w:hint="eastAsia" w:ascii="仿宋_GB2312" w:hAnsi="Times New Roman" w:eastAsia="仿宋_GB2312" w:cs="Times New Roman"/>
          <w:sz w:val="30"/>
          <w:szCs w:val="30"/>
          <w:highlight w:val="none"/>
        </w:rPr>
        <w:t>收入合计</w:t>
      </w:r>
      <w:r>
        <w:rPr>
          <w:rFonts w:hint="eastAsia" w:ascii="仿宋_GB2312" w:hAnsi="Times New Roman" w:eastAsia="仿宋_GB2312" w:cs="Times New Roman"/>
          <w:sz w:val="30"/>
          <w:szCs w:val="30"/>
          <w:highlight w:val="none"/>
          <w:lang w:eastAsia="zh-CN"/>
        </w:rPr>
        <w:t>增加</w:t>
      </w:r>
      <w:r>
        <w:rPr>
          <w:rFonts w:hint="eastAsia" w:ascii="仿宋_GB2312" w:hAnsi="Times New Roman" w:eastAsia="仿宋_GB2312" w:cs="Times New Roman"/>
          <w:sz w:val="30"/>
          <w:szCs w:val="30"/>
          <w:highlight w:val="none"/>
          <w:lang w:val="zh-CN"/>
        </w:rPr>
        <w:t>1194889.25</w:t>
      </w:r>
      <w:r>
        <w:rPr>
          <w:rFonts w:hint="eastAsia" w:ascii="仿宋_GB2312" w:hAnsi="Times New Roman" w:eastAsia="仿宋_GB2312" w:cs="Times New Roman"/>
          <w:sz w:val="30"/>
          <w:szCs w:val="30"/>
          <w:highlight w:val="none"/>
          <w:lang w:eastAsia="zh-CN"/>
        </w:rPr>
        <w:t>元，增长</w:t>
      </w:r>
      <w:r>
        <w:rPr>
          <w:rFonts w:hint="eastAsia" w:ascii="仿宋_GB2312" w:hAnsi="Times New Roman" w:eastAsia="仿宋_GB2312" w:cs="Times New Roman"/>
          <w:sz w:val="30"/>
          <w:szCs w:val="30"/>
          <w:highlight w:val="none"/>
          <w:lang w:val="zh-CN"/>
        </w:rPr>
        <w:t>1.28</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。其中：</w:t>
      </w:r>
      <w:r>
        <w:rPr>
          <w:rFonts w:hint="eastAsia" w:ascii="仿宋_GB2312" w:hAnsi="Times New Roman" w:eastAsia="仿宋_GB2312" w:cs="Times New Roman"/>
          <w:sz w:val="30"/>
          <w:szCs w:val="30"/>
          <w:highlight w:val="none"/>
        </w:rPr>
        <w:t>财政拨款收入</w:t>
      </w:r>
      <w:r>
        <w:rPr>
          <w:rFonts w:hint="eastAsia" w:ascii="仿宋_GB2312" w:hAnsi="Times New Roman" w:eastAsia="仿宋_GB2312" w:cs="Times New Roman"/>
          <w:sz w:val="30"/>
          <w:szCs w:val="30"/>
          <w:highlight w:val="none"/>
          <w:lang w:eastAsia="zh-CN"/>
        </w:rPr>
        <w:t>增加</w:t>
      </w:r>
      <w:r>
        <w:rPr>
          <w:rFonts w:hint="eastAsia" w:ascii="仿宋_GB2312" w:hAnsi="Times New Roman" w:eastAsia="仿宋_GB2312" w:cs="Times New Roman"/>
          <w:sz w:val="30"/>
          <w:szCs w:val="30"/>
          <w:highlight w:val="none"/>
          <w:lang w:val="zh-CN"/>
        </w:rPr>
        <w:t>1075815.24</w:t>
      </w:r>
      <w:r>
        <w:rPr>
          <w:rFonts w:hint="eastAsia" w:ascii="仿宋_GB2312" w:hAnsi="Times New Roman" w:eastAsia="仿宋_GB2312" w:cs="Times New Roman"/>
          <w:sz w:val="30"/>
          <w:szCs w:val="30"/>
          <w:highlight w:val="none"/>
          <w:lang w:eastAsia="zh-CN"/>
        </w:rPr>
        <w:t>元，增长</w:t>
      </w:r>
      <w:r>
        <w:rPr>
          <w:rFonts w:hint="eastAsia" w:ascii="仿宋_GB2312" w:hAnsi="Times New Roman" w:eastAsia="仿宋_GB2312" w:cs="Times New Roman"/>
          <w:sz w:val="30"/>
          <w:szCs w:val="30"/>
          <w:highlight w:val="none"/>
          <w:lang w:val="zh-CN"/>
        </w:rPr>
        <w:t>1.22</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w:t>
      </w:r>
      <w:r>
        <w:rPr>
          <w:rFonts w:hint="eastAsia" w:ascii="仿宋_GB2312" w:hAnsi="Times New Roman" w:eastAsia="仿宋_GB2312" w:cs="Times New Roman"/>
          <w:sz w:val="30"/>
          <w:szCs w:val="30"/>
          <w:highlight w:val="none"/>
        </w:rPr>
        <w:t>上级补助收入</w:t>
      </w:r>
      <w:r>
        <w:rPr>
          <w:rFonts w:hint="eastAsia" w:ascii="仿宋_GB2312" w:hAnsi="Times New Roman" w:eastAsia="仿宋_GB2312" w:cs="Times New Roman"/>
          <w:sz w:val="30"/>
          <w:szCs w:val="30"/>
          <w:highlight w:val="none"/>
          <w:lang w:eastAsia="zh-CN"/>
        </w:rPr>
        <w:t>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元，增长</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；事业收入增加</w:t>
      </w:r>
      <w:r>
        <w:rPr>
          <w:rFonts w:hint="eastAsia" w:ascii="仿宋_GB2312" w:hAnsi="Times New Roman" w:eastAsia="仿宋_GB2312" w:cs="Times New Roman"/>
          <w:sz w:val="30"/>
          <w:szCs w:val="30"/>
          <w:highlight w:val="none"/>
          <w:lang w:val="zh-CN"/>
        </w:rPr>
        <w:t>756239.00</w:t>
      </w:r>
      <w:r>
        <w:rPr>
          <w:rFonts w:hint="eastAsia" w:ascii="仿宋_GB2312" w:hAnsi="Times New Roman" w:eastAsia="仿宋_GB2312" w:cs="Times New Roman"/>
          <w:sz w:val="30"/>
          <w:szCs w:val="30"/>
          <w:highlight w:val="none"/>
          <w:lang w:eastAsia="zh-CN"/>
        </w:rPr>
        <w:t>元，增长</w:t>
      </w:r>
      <w:r>
        <w:rPr>
          <w:rFonts w:hint="eastAsia" w:ascii="仿宋_GB2312" w:hAnsi="Times New Roman" w:eastAsia="仿宋_GB2312" w:cs="Times New Roman"/>
          <w:sz w:val="30"/>
          <w:szCs w:val="30"/>
          <w:highlight w:val="none"/>
          <w:lang w:val="zh-CN"/>
        </w:rPr>
        <w:t>94.32</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；经营收入增加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元，增长</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；附属单位上缴收入增加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元，增长</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；其他收入</w:t>
      </w:r>
      <w:r>
        <w:rPr>
          <w:rFonts w:hint="eastAsia" w:ascii="仿宋_GB2312" w:hAnsi="Times New Roman" w:eastAsia="仿宋_GB2312" w:cs="Times New Roman"/>
          <w:sz w:val="30"/>
          <w:szCs w:val="30"/>
          <w:highlight w:val="none"/>
          <w:lang w:val="en-US" w:eastAsia="zh-CN"/>
        </w:rPr>
        <w:t>减少</w:t>
      </w:r>
      <w:r>
        <w:rPr>
          <w:rFonts w:hint="eastAsia" w:ascii="仿宋_GB2312" w:hAnsi="Times New Roman" w:eastAsia="仿宋_GB2312" w:cs="Times New Roman"/>
          <w:sz w:val="30"/>
          <w:szCs w:val="30"/>
          <w:highlight w:val="none"/>
          <w:lang w:val="zh-CN"/>
        </w:rPr>
        <w:t>637164.99</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lang w:val="en-US" w:eastAsia="zh-CN"/>
        </w:rPr>
        <w:t>下降</w:t>
      </w:r>
      <w:r>
        <w:rPr>
          <w:rFonts w:hint="eastAsia" w:ascii="仿宋_GB2312" w:hAnsi="Times New Roman" w:eastAsia="仿宋_GB2312" w:cs="Times New Roman"/>
          <w:sz w:val="30"/>
          <w:szCs w:val="30"/>
          <w:highlight w:val="none"/>
          <w:lang w:val="zh-CN"/>
        </w:rPr>
        <w:t>15.53</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w:t>
      </w:r>
      <w:r>
        <w:rPr>
          <w:rFonts w:hint="eastAsia" w:ascii="仿宋_GB2312" w:hAnsi="Times New Roman" w:eastAsia="仿宋_GB2312" w:cs="Times New Roman"/>
          <w:sz w:val="30"/>
          <w:szCs w:val="30"/>
          <w:highlight w:val="none"/>
        </w:rPr>
        <w:t>主要原因</w:t>
      </w:r>
      <w:r>
        <w:rPr>
          <w:rFonts w:hint="eastAsia" w:ascii="仿宋_GB2312" w:hAnsi="Times New Roman" w:eastAsia="仿宋_GB2312" w:cs="Times New Roman"/>
          <w:sz w:val="30"/>
          <w:szCs w:val="30"/>
          <w:highlight w:val="none"/>
          <w:lang w:eastAsia="zh-CN"/>
        </w:rPr>
        <w:t>是：</w:t>
      </w:r>
      <w:r>
        <w:rPr>
          <w:rFonts w:hint="eastAsia" w:ascii="仿宋_GB2312" w:hAnsi="Times New Roman" w:eastAsia="仿宋_GB2312" w:cs="Times New Roman"/>
          <w:sz w:val="30"/>
          <w:szCs w:val="30"/>
          <w:highlight w:val="none"/>
          <w:lang w:val="en-US" w:eastAsia="zh-CN"/>
        </w:rPr>
        <w:t>1.一般公共预算财政拨款收入增加</w:t>
      </w:r>
      <w:r>
        <w:rPr>
          <w:rFonts w:hint="eastAsia" w:ascii="仿宋_GB2312" w:hAnsi="Times New Roman" w:eastAsia="仿宋_GB2312" w:cs="Times New Roman"/>
          <w:sz w:val="30"/>
          <w:szCs w:val="30"/>
          <w:highlight w:val="none"/>
          <w:lang w:val="zh-CN"/>
        </w:rPr>
        <w:t>1075815.24</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lang w:val="en-US" w:eastAsia="zh-CN"/>
        </w:rPr>
        <w:t>一是本年度增加了省级银龄教师补助资金收入，二是年度中教职工岗位、薪级晋升，故工资预算调增，三是社保基数调增，故对应的保险收入增加。2.事业收入增加</w:t>
      </w:r>
      <w:r>
        <w:rPr>
          <w:rFonts w:hint="eastAsia" w:ascii="仿宋_GB2312" w:hAnsi="Times New Roman" w:eastAsia="仿宋_GB2312" w:cs="Times New Roman"/>
          <w:sz w:val="30"/>
          <w:szCs w:val="30"/>
          <w:highlight w:val="none"/>
          <w:lang w:val="zh-CN"/>
        </w:rPr>
        <w:t>756239.00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lang w:val="en-US" w:eastAsia="zh-CN"/>
        </w:rPr>
        <w:t>是由于我单位2023年晋级升等为一级三等完全中学，普通高中学费收费标准由300.00元/人/学期调整至500.00元/人/学期，故2024年度普通高中学费、住宿费收入大幅增加，且包含了2023年度我单位上缴未申请返还的部分。3.其他收入减少</w:t>
      </w:r>
      <w:r>
        <w:rPr>
          <w:rFonts w:hint="eastAsia" w:ascii="仿宋_GB2312" w:hAnsi="Times New Roman" w:eastAsia="仿宋_GB2312" w:cs="Times New Roman"/>
          <w:sz w:val="30"/>
          <w:szCs w:val="30"/>
          <w:highlight w:val="none"/>
          <w:lang w:val="zh-CN"/>
        </w:rPr>
        <w:t>637164.99</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lang w:val="en-US" w:eastAsia="zh-CN"/>
        </w:rPr>
        <w:t>是由于2024年我校义务教育阶段参加课后服务的学生人数减少，故收取的课后服务费减少。</w:t>
      </w:r>
    </w:p>
    <w:p w14:paraId="6CCDD810">
      <w:pPr>
        <w:keepNext w:val="0"/>
        <w:keepLines w:val="0"/>
        <w:pageBreakBefore w:val="0"/>
        <w:widowControl w:val="0"/>
        <w:kinsoku/>
        <w:wordWrap/>
        <w:overflowPunct/>
        <w:topLinePunct w:val="0"/>
        <w:autoSpaceDE/>
        <w:autoSpaceDN/>
        <w:bidi w:val="0"/>
        <w:adjustRightInd/>
        <w:ind w:firstLine="600" w:firstLineChars="200"/>
        <w:jc w:val="both"/>
        <w:textAlignment w:val="auto"/>
        <w:outlineLvl w:val="1"/>
        <w:rPr>
          <w:rFonts w:hint="eastAsia" w:ascii="黑体" w:hAnsi="黑体" w:eastAsia="黑体"/>
          <w:sz w:val="30"/>
          <w:szCs w:val="30"/>
          <w:highlight w:val="none"/>
        </w:rPr>
      </w:pPr>
      <w:r>
        <w:rPr>
          <w:rFonts w:hint="eastAsia" w:ascii="黑体" w:hAnsi="黑体" w:eastAsia="黑体"/>
          <w:sz w:val="30"/>
          <w:szCs w:val="30"/>
          <w:highlight w:val="none"/>
        </w:rPr>
        <w:t>二、支出决算情况说明</w:t>
      </w:r>
    </w:p>
    <w:p w14:paraId="5FE4F3FE">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lang w:val="zh-CN"/>
        </w:rPr>
        <w:t>云南师范大学附属世纪金源学校</w:t>
      </w: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年度支出合计</w:t>
      </w:r>
      <w:r>
        <w:rPr>
          <w:rFonts w:hint="eastAsia" w:ascii="仿宋_GB2312" w:hAnsi="Times New Roman" w:eastAsia="仿宋_GB2312" w:cs="Times New Roman"/>
          <w:sz w:val="30"/>
          <w:szCs w:val="30"/>
          <w:highlight w:val="none"/>
          <w:lang w:val="zh-CN"/>
        </w:rPr>
        <w:t>92277436.09</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。其中：基本支出</w:t>
      </w:r>
      <w:r>
        <w:rPr>
          <w:rFonts w:hint="eastAsia" w:ascii="仿宋_GB2312" w:hAnsi="Times New Roman" w:eastAsia="仿宋_GB2312" w:cs="Times New Roman"/>
          <w:sz w:val="30"/>
          <w:szCs w:val="30"/>
          <w:highlight w:val="none"/>
          <w:lang w:val="zh-CN"/>
        </w:rPr>
        <w:t>81886382.96</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，占总支出的</w:t>
      </w:r>
      <w:r>
        <w:rPr>
          <w:rFonts w:hint="eastAsia" w:ascii="仿宋_GB2312" w:hAnsi="Times New Roman" w:eastAsia="仿宋_GB2312" w:cs="Times New Roman"/>
          <w:sz w:val="30"/>
          <w:szCs w:val="30"/>
          <w:highlight w:val="none"/>
          <w:lang w:val="zh-CN"/>
        </w:rPr>
        <w:t>88.74</w:t>
      </w:r>
      <w:r>
        <w:rPr>
          <w:rFonts w:hint="eastAsia" w:ascii="仿宋_GB2312" w:hAnsi="Times New Roman" w:eastAsia="仿宋_GB2312" w:cs="Times New Roman"/>
          <w:sz w:val="30"/>
          <w:szCs w:val="30"/>
          <w:highlight w:val="none"/>
        </w:rPr>
        <w:t>％；项目支出</w:t>
      </w:r>
      <w:r>
        <w:rPr>
          <w:rFonts w:hint="eastAsia" w:ascii="仿宋_GB2312" w:hAnsi="Times New Roman" w:eastAsia="仿宋_GB2312" w:cs="Times New Roman"/>
          <w:sz w:val="30"/>
          <w:szCs w:val="30"/>
          <w:highlight w:val="none"/>
          <w:lang w:val="zh-CN"/>
        </w:rPr>
        <w:t>10391053.13</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，占总支出的</w:t>
      </w:r>
      <w:r>
        <w:rPr>
          <w:rFonts w:hint="eastAsia" w:ascii="仿宋_GB2312" w:hAnsi="Times New Roman" w:eastAsia="仿宋_GB2312" w:cs="Times New Roman"/>
          <w:sz w:val="30"/>
          <w:szCs w:val="30"/>
          <w:highlight w:val="none"/>
          <w:lang w:val="zh-CN"/>
        </w:rPr>
        <w:t>11.26</w:t>
      </w:r>
      <w:r>
        <w:rPr>
          <w:rFonts w:hint="eastAsia" w:ascii="仿宋_GB2312" w:hAnsi="Times New Roman" w:eastAsia="仿宋_GB2312" w:cs="Times New Roman"/>
          <w:sz w:val="30"/>
          <w:szCs w:val="30"/>
          <w:highlight w:val="none"/>
        </w:rPr>
        <w:t>％；上缴上级支出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％；经营支出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％；对附属单位补助支出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w:t>
      </w:r>
    </w:p>
    <w:p w14:paraId="6E66012B">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rPr>
        <w:t>与上年</w:t>
      </w:r>
      <w:r>
        <w:rPr>
          <w:rFonts w:hint="eastAsia" w:ascii="仿宋_GB2312" w:hAnsi="Times New Roman" w:eastAsia="仿宋_GB2312" w:cs="Times New Roman"/>
          <w:sz w:val="30"/>
          <w:szCs w:val="30"/>
          <w:highlight w:val="none"/>
          <w:lang w:eastAsia="zh-CN"/>
        </w:rPr>
        <w:t>相比，支出</w:t>
      </w:r>
      <w:r>
        <w:rPr>
          <w:rFonts w:hint="eastAsia" w:ascii="仿宋_GB2312" w:hAnsi="Times New Roman" w:eastAsia="仿宋_GB2312" w:cs="Times New Roman"/>
          <w:sz w:val="30"/>
          <w:szCs w:val="30"/>
          <w:highlight w:val="none"/>
        </w:rPr>
        <w:t>合计</w:t>
      </w:r>
      <w:r>
        <w:rPr>
          <w:rFonts w:hint="eastAsia" w:ascii="仿宋_GB2312" w:hAnsi="Times New Roman" w:eastAsia="仿宋_GB2312" w:cs="Times New Roman"/>
          <w:sz w:val="30"/>
          <w:szCs w:val="30"/>
          <w:highlight w:val="none"/>
          <w:lang w:val="en-US" w:eastAsia="zh-CN"/>
        </w:rPr>
        <w:t>减少</w:t>
      </w:r>
      <w:r>
        <w:rPr>
          <w:rFonts w:hint="eastAsia" w:ascii="仿宋_GB2312" w:hAnsi="Times New Roman" w:eastAsia="仿宋_GB2312" w:cs="Times New Roman"/>
          <w:sz w:val="30"/>
          <w:szCs w:val="30"/>
          <w:highlight w:val="none"/>
          <w:lang w:val="zh-CN"/>
        </w:rPr>
        <w:t>1510468.88</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lang w:val="en-US" w:eastAsia="zh-CN"/>
        </w:rPr>
        <w:t>下降</w:t>
      </w:r>
      <w:r>
        <w:rPr>
          <w:rFonts w:hint="eastAsia" w:ascii="仿宋_GB2312" w:hAnsi="Times New Roman" w:eastAsia="仿宋_GB2312" w:cs="Times New Roman"/>
          <w:sz w:val="30"/>
          <w:szCs w:val="30"/>
          <w:highlight w:val="none"/>
          <w:lang w:val="zh-CN"/>
        </w:rPr>
        <w:t>1.61</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。其中：</w:t>
      </w:r>
      <w:r>
        <w:rPr>
          <w:rFonts w:hint="eastAsia" w:ascii="仿宋_GB2312" w:hAnsi="Times New Roman" w:eastAsia="仿宋_GB2312" w:cs="Times New Roman"/>
          <w:sz w:val="30"/>
          <w:szCs w:val="30"/>
          <w:highlight w:val="none"/>
        </w:rPr>
        <w:t>基本支出</w:t>
      </w:r>
      <w:r>
        <w:rPr>
          <w:rFonts w:hint="eastAsia" w:ascii="仿宋_GB2312" w:hAnsi="Times New Roman" w:eastAsia="仿宋_GB2312" w:cs="Times New Roman"/>
          <w:sz w:val="30"/>
          <w:szCs w:val="30"/>
          <w:highlight w:val="none"/>
          <w:lang w:val="en-US" w:eastAsia="zh-CN"/>
        </w:rPr>
        <w:t>减少</w:t>
      </w:r>
      <w:r>
        <w:rPr>
          <w:rFonts w:hint="eastAsia" w:ascii="仿宋_GB2312" w:hAnsi="Times New Roman" w:eastAsia="仿宋_GB2312" w:cs="Times New Roman"/>
          <w:sz w:val="30"/>
          <w:szCs w:val="30"/>
          <w:highlight w:val="none"/>
          <w:lang w:val="zh-CN"/>
        </w:rPr>
        <w:t>3531007.78</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lang w:val="en-US" w:eastAsia="zh-CN"/>
        </w:rPr>
        <w:t>下降</w:t>
      </w:r>
      <w:r>
        <w:rPr>
          <w:rFonts w:hint="eastAsia" w:ascii="仿宋_GB2312" w:hAnsi="Times New Roman" w:eastAsia="仿宋_GB2312" w:cs="Times New Roman"/>
          <w:sz w:val="30"/>
          <w:szCs w:val="30"/>
          <w:highlight w:val="none"/>
          <w:lang w:val="zh-CN"/>
        </w:rPr>
        <w:t>4.13</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；项目支出增加</w:t>
      </w:r>
      <w:r>
        <w:rPr>
          <w:rFonts w:hint="eastAsia" w:ascii="仿宋_GB2312" w:hAnsi="Times New Roman" w:eastAsia="仿宋_GB2312" w:cs="Times New Roman"/>
          <w:sz w:val="30"/>
          <w:szCs w:val="30"/>
          <w:highlight w:val="none"/>
          <w:lang w:val="zh-CN"/>
        </w:rPr>
        <w:t>2020538.90</w:t>
      </w:r>
      <w:r>
        <w:rPr>
          <w:rFonts w:hint="eastAsia" w:ascii="仿宋_GB2312" w:hAnsi="Times New Roman" w:eastAsia="仿宋_GB2312" w:cs="Times New Roman"/>
          <w:sz w:val="30"/>
          <w:szCs w:val="30"/>
          <w:highlight w:val="none"/>
          <w:lang w:eastAsia="zh-CN"/>
        </w:rPr>
        <w:t>元，增长</w:t>
      </w:r>
      <w:r>
        <w:rPr>
          <w:rFonts w:hint="eastAsia" w:ascii="仿宋_GB2312" w:hAnsi="Times New Roman" w:eastAsia="仿宋_GB2312" w:cs="Times New Roman"/>
          <w:sz w:val="30"/>
          <w:szCs w:val="30"/>
          <w:highlight w:val="none"/>
          <w:lang w:val="zh-CN"/>
        </w:rPr>
        <w:t>24.14</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；上缴上级支出增加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元，增长</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；经营支出增加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元，增长</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；对附属单位补助支出增加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元，增长</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w:t>
      </w:r>
      <w:r>
        <w:rPr>
          <w:rFonts w:hint="eastAsia" w:ascii="仿宋_GB2312" w:hAnsi="Times New Roman" w:eastAsia="仿宋_GB2312" w:cs="Times New Roman"/>
          <w:sz w:val="30"/>
          <w:szCs w:val="30"/>
          <w:highlight w:val="none"/>
        </w:rPr>
        <w:t>主要原因</w:t>
      </w:r>
      <w:r>
        <w:rPr>
          <w:rFonts w:hint="eastAsia" w:ascii="仿宋_GB2312" w:hAnsi="Times New Roman" w:eastAsia="仿宋_GB2312" w:cs="Times New Roman"/>
          <w:sz w:val="30"/>
          <w:szCs w:val="30"/>
          <w:highlight w:val="none"/>
          <w:lang w:eastAsia="zh-CN"/>
        </w:rPr>
        <w:t>是：</w:t>
      </w:r>
      <w:r>
        <w:rPr>
          <w:rFonts w:hint="eastAsia" w:ascii="仿宋_GB2312" w:hAnsi="Times New Roman" w:eastAsia="仿宋_GB2312" w:cs="Times New Roman"/>
          <w:sz w:val="30"/>
          <w:szCs w:val="30"/>
          <w:highlight w:val="none"/>
          <w:lang w:val="en-US" w:eastAsia="zh-CN"/>
        </w:rPr>
        <w:t>1.基本支出减少</w:t>
      </w:r>
      <w:r>
        <w:rPr>
          <w:rFonts w:hint="eastAsia" w:ascii="仿宋_GB2312" w:hAnsi="Times New Roman" w:eastAsia="仿宋_GB2312" w:cs="Times New Roman"/>
          <w:sz w:val="30"/>
          <w:szCs w:val="30"/>
          <w:highlight w:val="none"/>
          <w:lang w:val="zh-CN"/>
        </w:rPr>
        <w:t>3531007.78</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lang w:val="en-US" w:eastAsia="zh-CN"/>
        </w:rPr>
        <w:t>一是由于我单位2024年退休17人，离职2人，相应的工资、保险等人员支出减少，二是公用经费预算相较2023年缩减，故相应的支出减少；三是单位资金中课后服务费收入减少，故对应的支出减少。2.项目支出增加</w:t>
      </w:r>
      <w:r>
        <w:rPr>
          <w:rFonts w:hint="eastAsia" w:ascii="仿宋_GB2312" w:hAnsi="Times New Roman" w:eastAsia="仿宋_GB2312" w:cs="Times New Roman"/>
          <w:sz w:val="30"/>
          <w:szCs w:val="30"/>
          <w:highlight w:val="none"/>
          <w:lang w:val="zh-CN"/>
        </w:rPr>
        <w:t>2020538.90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lang w:val="en-US" w:eastAsia="zh-CN"/>
        </w:rPr>
        <w:t>一是由于相较2023年增加了省级银龄教师补助资金经费收入，故对应的支出增加；二是由于学生生均经费标准调高，对应的义务教育生均经费和普通高中生均经费项目支出增加。</w:t>
      </w:r>
    </w:p>
    <w:p w14:paraId="0ACED41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cs="Times New Roman"/>
          <w:sz w:val="30"/>
          <w:szCs w:val="30"/>
          <w:highlight w:val="none"/>
        </w:rPr>
      </w:pPr>
      <w:r>
        <w:rPr>
          <w:rFonts w:hint="eastAsia" w:ascii="楷体" w:hAnsi="楷体" w:eastAsia="楷体" w:cs="Times New Roman"/>
          <w:sz w:val="30"/>
          <w:szCs w:val="30"/>
          <w:highlight w:val="none"/>
        </w:rPr>
        <w:t>（一）基本支出情况</w:t>
      </w:r>
    </w:p>
    <w:p w14:paraId="7DE0A658">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年度用于保障</w:t>
      </w:r>
      <w:r>
        <w:rPr>
          <w:rFonts w:hint="eastAsia" w:ascii="仿宋_GB2312" w:hAnsi="Times New Roman" w:eastAsia="仿宋_GB2312" w:cs="Times New Roman"/>
          <w:sz w:val="30"/>
          <w:szCs w:val="30"/>
          <w:highlight w:val="none"/>
          <w:lang w:val="zh-CN"/>
        </w:rPr>
        <w:t>云南师范大学附属世纪金源学校</w:t>
      </w:r>
      <w:r>
        <w:rPr>
          <w:rFonts w:hint="eastAsia" w:ascii="仿宋_GB2312" w:hAnsi="Times New Roman" w:eastAsia="仿宋_GB2312" w:cs="Times New Roman"/>
          <w:sz w:val="30"/>
          <w:szCs w:val="30"/>
          <w:highlight w:val="none"/>
        </w:rPr>
        <w:t>机构正常运转的日常支出</w:t>
      </w:r>
      <w:r>
        <w:rPr>
          <w:rFonts w:hint="eastAsia" w:ascii="仿宋_GB2312" w:hAnsi="Times New Roman" w:eastAsia="仿宋_GB2312" w:cs="Times New Roman"/>
          <w:sz w:val="30"/>
          <w:szCs w:val="30"/>
          <w:highlight w:val="none"/>
          <w:lang w:val="zh-CN"/>
        </w:rPr>
        <w:t>81886382.96</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其中：</w:t>
      </w:r>
      <w:r>
        <w:rPr>
          <w:rFonts w:hint="eastAsia" w:ascii="仿宋_GB2312" w:hAnsi="Times New Roman" w:eastAsia="仿宋_GB2312" w:cs="Times New Roman"/>
          <w:sz w:val="30"/>
          <w:szCs w:val="30"/>
          <w:highlight w:val="none"/>
        </w:rPr>
        <w:t>基本工资、津贴补贴等人员经费支出</w:t>
      </w:r>
      <w:r>
        <w:rPr>
          <w:rFonts w:hint="eastAsia" w:ascii="仿宋_GB2312" w:hAnsi="Times New Roman" w:eastAsia="仿宋_GB2312" w:cs="Times New Roman"/>
          <w:sz w:val="30"/>
          <w:szCs w:val="30"/>
          <w:highlight w:val="none"/>
          <w:lang w:val="zh-CN"/>
        </w:rPr>
        <w:t>78513709.58</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占基本支出的</w:t>
      </w:r>
      <w:r>
        <w:rPr>
          <w:rFonts w:hint="eastAsia" w:ascii="仿宋_GB2312" w:hAnsi="Times New Roman" w:eastAsia="仿宋_GB2312" w:cs="Times New Roman"/>
          <w:sz w:val="30"/>
          <w:szCs w:val="30"/>
          <w:highlight w:val="none"/>
          <w:lang w:val="zh-CN"/>
        </w:rPr>
        <w:t>95.88</w:t>
      </w:r>
      <w:r>
        <w:rPr>
          <w:rFonts w:hint="eastAsia" w:ascii="仿宋_GB2312" w:hAnsi="Times New Roman" w:eastAsia="仿宋_GB2312" w:cs="Times New Roman"/>
          <w:sz w:val="30"/>
          <w:szCs w:val="30"/>
          <w:highlight w:val="none"/>
        </w:rPr>
        <w:t>％；办公费、印刷费、水电费、办公设备购置等公用经费</w:t>
      </w:r>
      <w:r>
        <w:rPr>
          <w:rFonts w:hint="eastAsia" w:ascii="仿宋_GB2312" w:hAnsi="Times New Roman" w:eastAsia="仿宋_GB2312" w:cs="Times New Roman"/>
          <w:sz w:val="30"/>
          <w:szCs w:val="30"/>
          <w:highlight w:val="none"/>
          <w:lang w:val="zh-CN"/>
        </w:rPr>
        <w:t>3372673.38</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占基本支出的</w:t>
      </w:r>
      <w:r>
        <w:rPr>
          <w:rFonts w:hint="eastAsia" w:ascii="仿宋_GB2312" w:hAnsi="Times New Roman" w:eastAsia="仿宋_GB2312" w:cs="Times New Roman"/>
          <w:sz w:val="30"/>
          <w:szCs w:val="30"/>
          <w:highlight w:val="none"/>
          <w:lang w:val="zh-CN"/>
        </w:rPr>
        <w:t>4.12</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val="en-US"/>
        </w:rPr>
        <w:t>人均人员经费</w:t>
      </w:r>
      <w:r>
        <w:rPr>
          <w:rFonts w:hint="eastAsia" w:ascii="仿宋_GB2312" w:hAnsi="Times New Roman" w:eastAsia="仿宋_GB2312" w:cs="Times New Roman"/>
          <w:sz w:val="30"/>
          <w:szCs w:val="30"/>
          <w:highlight w:val="none"/>
          <w:lang w:val="en-US" w:eastAsia="zh-CN"/>
        </w:rPr>
        <w:t>240103.09</w:t>
      </w:r>
      <w:r>
        <w:rPr>
          <w:rFonts w:hint="eastAsia" w:ascii="仿宋_GB2312" w:hAnsi="Times New Roman" w:eastAsia="仿宋_GB2312" w:cs="Times New Roman"/>
          <w:sz w:val="30"/>
          <w:szCs w:val="30"/>
          <w:highlight w:val="none"/>
          <w:lang w:val="en-US"/>
        </w:rPr>
        <w:t>元，人均公用经费</w:t>
      </w:r>
      <w:r>
        <w:rPr>
          <w:rFonts w:hint="eastAsia" w:ascii="仿宋_GB2312" w:hAnsi="Times New Roman" w:eastAsia="仿宋_GB2312" w:cs="Times New Roman"/>
          <w:sz w:val="30"/>
          <w:szCs w:val="30"/>
          <w:highlight w:val="none"/>
          <w:lang w:val="en-US" w:eastAsia="zh-CN"/>
        </w:rPr>
        <w:t>10313.99</w:t>
      </w:r>
      <w:r>
        <w:rPr>
          <w:rFonts w:hint="eastAsia" w:ascii="仿宋_GB2312" w:hAnsi="Times New Roman" w:eastAsia="仿宋_GB2312" w:cs="Times New Roman"/>
          <w:sz w:val="30"/>
          <w:szCs w:val="30"/>
          <w:highlight w:val="none"/>
          <w:lang w:val="en-US"/>
        </w:rPr>
        <w:t>元。</w:t>
      </w:r>
    </w:p>
    <w:p w14:paraId="3658EC01">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cs="Times New Roman"/>
          <w:sz w:val="30"/>
          <w:szCs w:val="30"/>
          <w:highlight w:val="none"/>
        </w:rPr>
      </w:pPr>
      <w:r>
        <w:rPr>
          <w:rFonts w:hint="eastAsia" w:ascii="楷体" w:hAnsi="楷体" w:eastAsia="楷体" w:cs="Times New Roman"/>
          <w:sz w:val="30"/>
          <w:szCs w:val="30"/>
          <w:highlight w:val="none"/>
        </w:rPr>
        <w:t>（二）项目支出情况</w:t>
      </w:r>
    </w:p>
    <w:p w14:paraId="2DD7079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zh-CN"/>
        </w:rPr>
      </w:pP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lang w:val="zh-CN"/>
        </w:rPr>
        <w:t>年度用于保障云南师范大学附属世纪金源学校为完成特定的行政工作任务或事业发展目标，用于专项业务工作的经费支出10391053.13</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w:t>
      </w:r>
      <w:r>
        <w:rPr>
          <w:rFonts w:hint="eastAsia" w:ascii="仿宋_GB2312" w:hAnsi="Times New Roman" w:eastAsia="仿宋_GB2312" w:cs="Times New Roman"/>
          <w:sz w:val="30"/>
          <w:szCs w:val="30"/>
          <w:highlight w:val="none"/>
          <w:lang w:val="zh-CN" w:eastAsia="zh-CN"/>
        </w:rPr>
        <w:t>其中：基本建设类项目支出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w:t>
      </w:r>
      <w:r>
        <w:rPr>
          <w:rFonts w:hint="eastAsia" w:ascii="仿宋_GB2312" w:hAnsi="Times New Roman" w:eastAsia="仿宋_GB2312" w:cs="Times New Roman"/>
          <w:sz w:val="30"/>
          <w:szCs w:val="30"/>
          <w:highlight w:val="none"/>
          <w:lang w:val="en-US" w:eastAsia="zh-CN"/>
        </w:rPr>
        <w:t>专项业务工作经费</w:t>
      </w:r>
      <w:r>
        <w:rPr>
          <w:rFonts w:hint="eastAsia" w:ascii="仿宋_GB2312" w:hAnsi="Times New Roman" w:eastAsia="仿宋_GB2312" w:cs="Times New Roman"/>
          <w:sz w:val="30"/>
          <w:szCs w:val="30"/>
          <w:highlight w:val="none"/>
          <w:lang w:val="zh-CN"/>
        </w:rPr>
        <w:t>主要用于保障学校专项工作，提升学校教学质量，改善办学条件，提升教师教学水平等方面。</w:t>
      </w:r>
    </w:p>
    <w:p w14:paraId="21977D8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default"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重点项目明细及用途如下：</w:t>
      </w:r>
    </w:p>
    <w:p w14:paraId="38E6FD4B">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default"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rPr>
        <w:t>师大世纪金源学校教育收费成本专项资金项目经费932378.95元，主要用于</w:t>
      </w:r>
      <w:r>
        <w:rPr>
          <w:rFonts w:hint="eastAsia" w:ascii="仿宋_GB2312" w:hAnsi="Times New Roman" w:eastAsia="仿宋_GB2312" w:cs="Times New Roman"/>
          <w:sz w:val="30"/>
          <w:szCs w:val="30"/>
          <w:highlight w:val="none"/>
          <w:lang w:val="en-US" w:eastAsia="zh-CN"/>
        </w:rPr>
        <w:t>幼儿园段日常办学和维修维护；</w:t>
      </w:r>
    </w:p>
    <w:p w14:paraId="00CE119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rPr>
        <w:t>世纪金源学校补助办学专项资金项目经费1220530</w:t>
      </w:r>
      <w:r>
        <w:rPr>
          <w:rFonts w:hint="eastAsia" w:ascii="仿宋_GB2312" w:hAnsi="Times New Roman" w:eastAsia="仿宋_GB2312" w:cs="Times New Roman"/>
          <w:sz w:val="30"/>
          <w:szCs w:val="30"/>
          <w:highlight w:val="none"/>
          <w:lang w:val="en-US" w:eastAsia="zh-CN"/>
        </w:rPr>
        <w:t>.00</w:t>
      </w:r>
      <w:r>
        <w:rPr>
          <w:rFonts w:hint="eastAsia" w:ascii="仿宋_GB2312" w:hAnsi="Times New Roman" w:eastAsia="仿宋_GB2312" w:cs="Times New Roman"/>
          <w:sz w:val="30"/>
          <w:szCs w:val="30"/>
          <w:highlight w:val="none"/>
        </w:rPr>
        <w:t>元，主要用于</w:t>
      </w:r>
      <w:r>
        <w:rPr>
          <w:rFonts w:hint="eastAsia" w:ascii="仿宋_GB2312" w:hAnsi="Times New Roman" w:eastAsia="仿宋_GB2312" w:cs="Times New Roman"/>
          <w:sz w:val="30"/>
          <w:szCs w:val="30"/>
          <w:highlight w:val="none"/>
          <w:lang w:val="en-US" w:eastAsia="zh-CN"/>
        </w:rPr>
        <w:t>学校正常运转所需的公用支出。</w:t>
      </w:r>
    </w:p>
    <w:p w14:paraId="756CC837">
      <w:pPr>
        <w:keepNext w:val="0"/>
        <w:keepLines w:val="0"/>
        <w:pageBreakBefore w:val="0"/>
        <w:widowControl w:val="0"/>
        <w:kinsoku/>
        <w:wordWrap/>
        <w:overflowPunct/>
        <w:topLinePunct w:val="0"/>
        <w:autoSpaceDE/>
        <w:autoSpaceDN/>
        <w:bidi w:val="0"/>
        <w:adjustRightInd/>
        <w:snapToGrid w:val="0"/>
        <w:spacing w:before="100" w:after="100" w:line="600" w:lineRule="exact"/>
        <w:ind w:firstLine="600" w:firstLineChars="200"/>
        <w:jc w:val="both"/>
        <w:textAlignment w:val="auto"/>
        <w:outlineLvl w:val="1"/>
        <w:rPr>
          <w:rFonts w:hint="eastAsia" w:ascii="黑体" w:hAnsi="黑体" w:eastAsia="黑体"/>
          <w:sz w:val="30"/>
          <w:szCs w:val="30"/>
          <w:highlight w:val="none"/>
        </w:rPr>
      </w:pPr>
      <w:r>
        <w:rPr>
          <w:rFonts w:hint="eastAsia" w:ascii="黑体" w:hAnsi="黑体" w:eastAsia="黑体"/>
          <w:sz w:val="30"/>
          <w:szCs w:val="30"/>
          <w:highlight w:val="none"/>
        </w:rPr>
        <w:t>三、一般公共预算财政拨款支出决算情况说明</w:t>
      </w:r>
    </w:p>
    <w:p w14:paraId="2A9DB41E">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cs="Times New Roman"/>
          <w:sz w:val="30"/>
          <w:szCs w:val="30"/>
          <w:highlight w:val="none"/>
        </w:rPr>
      </w:pPr>
      <w:r>
        <w:rPr>
          <w:rFonts w:hint="eastAsia" w:ascii="楷体" w:hAnsi="楷体" w:eastAsia="楷体" w:cs="Times New Roman"/>
          <w:sz w:val="30"/>
          <w:szCs w:val="30"/>
          <w:highlight w:val="none"/>
        </w:rPr>
        <w:t>（一）一般公共预算财政拨款支出决算总体情况</w:t>
      </w:r>
    </w:p>
    <w:p w14:paraId="26374AFA">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lang w:val="zh-CN"/>
        </w:rPr>
        <w:t>云南师范大学附属世纪金源学校</w:t>
      </w: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年度一般公共预算财政拨款支出</w:t>
      </w:r>
      <w:r>
        <w:rPr>
          <w:rFonts w:hint="eastAsia" w:ascii="仿宋_GB2312" w:hAnsi="Times New Roman" w:eastAsia="仿宋_GB2312" w:cs="Times New Roman"/>
          <w:sz w:val="30"/>
          <w:szCs w:val="30"/>
          <w:highlight w:val="none"/>
          <w:lang w:val="zh-CN"/>
        </w:rPr>
        <w:t>89599934.59</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,占本年支出合计的</w:t>
      </w:r>
      <w:r>
        <w:rPr>
          <w:rFonts w:hint="eastAsia" w:ascii="仿宋_GB2312" w:hAnsi="Times New Roman" w:eastAsia="仿宋_GB2312" w:cs="Times New Roman"/>
          <w:sz w:val="30"/>
          <w:szCs w:val="30"/>
          <w:highlight w:val="none"/>
          <w:lang w:val="zh-CN"/>
        </w:rPr>
        <w:t>97.10</w:t>
      </w:r>
      <w:r>
        <w:rPr>
          <w:rFonts w:hint="eastAsia" w:ascii="仿宋_GB2312" w:hAnsi="Times New Roman" w:eastAsia="仿宋_GB2312" w:cs="Times New Roman"/>
          <w:sz w:val="30"/>
          <w:szCs w:val="30"/>
          <w:highlight w:val="none"/>
        </w:rPr>
        <w:t>%。与上年</w:t>
      </w:r>
      <w:r>
        <w:rPr>
          <w:rFonts w:hint="eastAsia" w:ascii="仿宋_GB2312" w:hAnsi="Times New Roman" w:eastAsia="仿宋_GB2312" w:cs="Times New Roman"/>
          <w:sz w:val="30"/>
          <w:szCs w:val="30"/>
          <w:highlight w:val="none"/>
          <w:lang w:eastAsia="zh-CN"/>
        </w:rPr>
        <w:t>相比</w:t>
      </w:r>
      <w:r>
        <w:rPr>
          <w:rFonts w:hint="eastAsia" w:ascii="仿宋_GB2312" w:hAnsi="Times New Roman" w:eastAsia="仿宋_GB2312" w:cs="Times New Roman"/>
          <w:sz w:val="30"/>
          <w:szCs w:val="30"/>
          <w:highlight w:val="none"/>
        </w:rPr>
        <w:t>增加</w:t>
      </w:r>
      <w:r>
        <w:rPr>
          <w:rFonts w:hint="eastAsia" w:ascii="仿宋_GB2312" w:hAnsi="Times New Roman" w:eastAsia="仿宋_GB2312" w:cs="Times New Roman"/>
          <w:sz w:val="30"/>
          <w:szCs w:val="30"/>
          <w:highlight w:val="none"/>
          <w:lang w:val="zh-CN"/>
        </w:rPr>
        <w:t>1075815.24</w:t>
      </w:r>
      <w:r>
        <w:rPr>
          <w:rFonts w:hint="eastAsia" w:ascii="仿宋_GB2312" w:hAnsi="Times New Roman" w:eastAsia="仿宋_GB2312" w:cs="Times New Roman"/>
          <w:sz w:val="30"/>
          <w:szCs w:val="30"/>
          <w:highlight w:val="none"/>
        </w:rPr>
        <w:t>元，增长</w:t>
      </w:r>
      <w:r>
        <w:rPr>
          <w:rFonts w:hint="eastAsia" w:ascii="仿宋_GB2312" w:hAnsi="Times New Roman" w:eastAsia="仿宋_GB2312" w:cs="Times New Roman"/>
          <w:sz w:val="30"/>
          <w:szCs w:val="30"/>
          <w:highlight w:val="none"/>
          <w:lang w:val="zh-CN"/>
        </w:rPr>
        <w:t>1.22</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完成年初预算的</w:t>
      </w:r>
      <w:r>
        <w:rPr>
          <w:rFonts w:hint="eastAsia" w:ascii="仿宋_GB2312" w:hAnsi="Times New Roman" w:eastAsia="仿宋_GB2312" w:cs="Times New Roman"/>
          <w:sz w:val="30"/>
          <w:szCs w:val="30"/>
          <w:highlight w:val="none"/>
          <w:lang w:val="zh-CN"/>
        </w:rPr>
        <w:t>107.89</w:t>
      </w:r>
      <w:r>
        <w:rPr>
          <w:rFonts w:hint="eastAsia" w:ascii="仿宋_GB2312" w:hAnsi="Times New Roman" w:eastAsia="仿宋_GB2312" w:cs="Times New Roman"/>
          <w:sz w:val="30"/>
          <w:szCs w:val="30"/>
          <w:highlight w:val="none"/>
          <w:lang w:val="en-US" w:eastAsia="zh-CN"/>
        </w:rPr>
        <w:t>%</w:t>
      </w:r>
      <w:r>
        <w:rPr>
          <w:rFonts w:hint="eastAsia" w:ascii="仿宋_GB2312" w:hAnsi="Times New Roman" w:eastAsia="仿宋_GB2312" w:cs="Times New Roman"/>
          <w:sz w:val="30"/>
          <w:szCs w:val="30"/>
          <w:highlight w:val="none"/>
        </w:rPr>
        <w:t>。</w:t>
      </w:r>
    </w:p>
    <w:p w14:paraId="183FCB92">
      <w:pPr>
        <w:keepNext w:val="0"/>
        <w:keepLines w:val="0"/>
        <w:pageBreakBefore w:val="0"/>
        <w:widowControl w:val="0"/>
        <w:kinsoku/>
        <w:wordWrap/>
        <w:overflowPunct/>
        <w:topLinePunct w:val="0"/>
        <w:autoSpaceDE/>
        <w:autoSpaceDN/>
        <w:bidi w:val="0"/>
        <w:adjustRightInd/>
        <w:snapToGrid w:val="0"/>
        <w:spacing w:before="100" w:after="100" w:line="600" w:lineRule="exact"/>
        <w:ind w:firstLine="600" w:firstLineChars="200"/>
        <w:jc w:val="both"/>
        <w:textAlignment w:val="auto"/>
        <w:outlineLvl w:val="2"/>
        <w:rPr>
          <w:rFonts w:hint="eastAsia" w:ascii="楷体" w:hAnsi="楷体" w:eastAsia="楷体"/>
          <w:sz w:val="30"/>
          <w:szCs w:val="30"/>
          <w:highlight w:val="none"/>
        </w:rPr>
      </w:pPr>
      <w:r>
        <w:rPr>
          <w:rFonts w:hint="eastAsia" w:ascii="楷体" w:hAnsi="楷体" w:eastAsia="楷体" w:cs="Times New Roman"/>
          <w:sz w:val="30"/>
          <w:szCs w:val="30"/>
          <w:highlight w:val="none"/>
        </w:rPr>
        <w:t>（二）一般公共预算财政拨款支出决算</w:t>
      </w:r>
      <w:r>
        <w:rPr>
          <w:rFonts w:hint="eastAsia" w:ascii="楷体" w:hAnsi="楷体" w:eastAsia="楷体" w:cs="Times New Roman"/>
          <w:sz w:val="30"/>
          <w:szCs w:val="30"/>
          <w:highlight w:val="none"/>
          <w:lang w:eastAsia="zh-CN"/>
        </w:rPr>
        <w:t>分功能分类科目情况</w:t>
      </w:r>
      <w:r>
        <w:rPr>
          <w:rFonts w:hint="eastAsia" w:ascii="楷体" w:hAnsi="楷体" w:eastAsia="楷体"/>
          <w:sz w:val="30"/>
          <w:szCs w:val="30"/>
          <w:highlight w:val="none"/>
        </w:rPr>
        <w:tab/>
      </w:r>
    </w:p>
    <w:p w14:paraId="045299A1">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1.一般公共服务（类）支出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09AD3BBD">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rPr>
      </w:pPr>
      <w:r>
        <w:rPr>
          <w:rFonts w:hint="eastAsia" w:ascii="仿宋_GB2312" w:hAnsi="Times New Roman" w:eastAsia="仿宋_GB2312" w:cs="Times New Roman"/>
          <w:sz w:val="30"/>
          <w:szCs w:val="30"/>
          <w:highlight w:val="none"/>
          <w:lang w:val="en-US"/>
        </w:rPr>
        <w:t>2.外交（类）支出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334B1ED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3.国防（类）支出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56A2D882">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4.公共安全（类）支出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058F13B8">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5.教育（类）支出</w:t>
      </w:r>
      <w:r>
        <w:rPr>
          <w:rFonts w:hint="eastAsia" w:ascii="仿宋_GB2312" w:hAnsi="Times New Roman" w:eastAsia="仿宋_GB2312" w:cs="Times New Roman"/>
          <w:sz w:val="30"/>
          <w:szCs w:val="30"/>
          <w:highlight w:val="none"/>
          <w:lang w:val="en-US" w:eastAsia="zh-CN"/>
        </w:rPr>
        <w:t>71030366.89</w:t>
      </w:r>
      <w:r>
        <w:rPr>
          <w:rFonts w:hint="eastAsia" w:ascii="仿宋_GB2312" w:hAnsi="Times New Roman" w:eastAsia="仿宋_GB2312" w:cs="Times New Roman"/>
          <w:sz w:val="30"/>
          <w:szCs w:val="30"/>
          <w:highlight w:val="none"/>
          <w:lang w:val="en-US"/>
        </w:rPr>
        <w:t>元，占一般公共预算财政拨款总支出的</w:t>
      </w:r>
      <w:r>
        <w:rPr>
          <w:rFonts w:hint="eastAsia" w:ascii="仿宋_GB2312" w:hAnsi="Times New Roman" w:eastAsia="仿宋_GB2312" w:cs="Times New Roman"/>
          <w:sz w:val="30"/>
          <w:szCs w:val="30"/>
          <w:highlight w:val="none"/>
          <w:lang w:val="en-US" w:eastAsia="zh-CN"/>
        </w:rPr>
        <w:t>79.28</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完成年初预算的</w:t>
      </w:r>
      <w:r>
        <w:rPr>
          <w:rFonts w:hint="eastAsia" w:ascii="仿宋_GB2312" w:hAnsi="Times New Roman" w:eastAsia="仿宋_GB2312" w:cs="Times New Roman"/>
          <w:sz w:val="30"/>
          <w:szCs w:val="30"/>
          <w:highlight w:val="none"/>
          <w:lang w:val="zh-CN"/>
        </w:rPr>
        <w:t>109.90</w:t>
      </w:r>
      <w:r>
        <w:rPr>
          <w:rFonts w:hint="eastAsia" w:ascii="仿宋_GB2312" w:hAnsi="Times New Roman" w:eastAsia="仿宋_GB2312" w:cs="Times New Roman"/>
          <w:sz w:val="30"/>
          <w:szCs w:val="30"/>
          <w:highlight w:val="none"/>
          <w:lang w:val="en-US" w:eastAsia="zh-CN"/>
        </w:rPr>
        <w:t>%</w:t>
      </w:r>
      <w:r>
        <w:rPr>
          <w:rFonts w:hint="eastAsia" w:ascii="仿宋_GB2312" w:hAnsi="Times New Roman" w:eastAsia="仿宋_GB2312" w:cs="Times New Roman"/>
          <w:sz w:val="30"/>
          <w:szCs w:val="30"/>
          <w:highlight w:val="none"/>
          <w:lang w:val="en-US"/>
        </w:rPr>
        <w:t>。主要用于</w:t>
      </w:r>
      <w:r>
        <w:rPr>
          <w:rFonts w:hint="eastAsia" w:ascii="仿宋_GB2312" w:hAnsi="Times New Roman" w:eastAsia="仿宋_GB2312" w:cs="Times New Roman"/>
          <w:sz w:val="30"/>
          <w:szCs w:val="30"/>
          <w:highlight w:val="none"/>
          <w:lang w:val="en-US" w:eastAsia="zh-CN"/>
        </w:rPr>
        <w:t>：学前教育932378.95元，占普通教育支出的1.31%，主要用于幼儿园收费成本补偿项目；小学教育66522821.14元、初中教育250000.00元，义务教育阶段合计为66772821.14元，占普通教育支出的94.01%，主要用于义务教育阶段免费教科书采购和义务教育阶段学校运转的公用经费；高中教育3325166.80元，占普通教育支出的4.68%，主要用于高中助学金以及保障普通高中运转经费。造成预决算差异的主要原因是：义务教育阶段和高中阶段的生均经费、省级银龄教师补助经费项目未在年初预算时储备，而是在年度中临时调整预算进行储备的项目，故实际支出数比年初预算数多。</w:t>
      </w:r>
    </w:p>
    <w:p w14:paraId="26545A1A">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rPr>
      </w:pPr>
      <w:r>
        <w:rPr>
          <w:rFonts w:hint="eastAsia" w:ascii="仿宋_GB2312" w:hAnsi="Times New Roman" w:eastAsia="仿宋_GB2312" w:cs="Times New Roman"/>
          <w:sz w:val="30"/>
          <w:szCs w:val="30"/>
          <w:highlight w:val="none"/>
          <w:lang w:val="en-US"/>
        </w:rPr>
        <w:t>6.科学技术（类）支出</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en-US"/>
        </w:rPr>
        <w:t>元，占一般公共预算财政拨款总支出的</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r>
        <w:rPr>
          <w:rFonts w:hint="eastAsia" w:ascii="仿宋_GB2312" w:hAnsi="Times New Roman" w:eastAsia="仿宋_GB2312" w:cs="Times New Roman"/>
          <w:sz w:val="30"/>
          <w:szCs w:val="30"/>
          <w:highlight w:val="none"/>
          <w:lang w:val="en-US"/>
        </w:rPr>
        <w:t>。</w:t>
      </w:r>
    </w:p>
    <w:p w14:paraId="47687DF4">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eastAsia="zh-CN"/>
        </w:rPr>
      </w:pPr>
      <w:r>
        <w:rPr>
          <w:rFonts w:hint="eastAsia" w:ascii="仿宋_GB2312" w:hAnsi="Times New Roman" w:eastAsia="仿宋_GB2312" w:cs="Times New Roman"/>
          <w:sz w:val="30"/>
          <w:szCs w:val="30"/>
          <w:highlight w:val="none"/>
          <w:lang w:val="en-US"/>
        </w:rPr>
        <w:t>7.文化旅游体育与传媒（类）支出</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en-US"/>
        </w:rPr>
        <w:t>元，占一般公共预算财政拨款总支出的</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eastAsia="zh-CN"/>
        </w:rPr>
        <w:t>年初无此项预算。</w:t>
      </w:r>
    </w:p>
    <w:p w14:paraId="420A29FB">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8.社会保障和就业（类）支出</w:t>
      </w:r>
      <w:r>
        <w:rPr>
          <w:rFonts w:hint="eastAsia" w:ascii="仿宋_GB2312" w:hAnsi="Times New Roman" w:eastAsia="仿宋_GB2312" w:cs="Times New Roman"/>
          <w:sz w:val="30"/>
          <w:szCs w:val="30"/>
          <w:highlight w:val="none"/>
          <w:lang w:val="en-US" w:eastAsia="zh-CN"/>
        </w:rPr>
        <w:t>7461530.21</w:t>
      </w:r>
      <w:r>
        <w:rPr>
          <w:rFonts w:hint="eastAsia" w:ascii="仿宋_GB2312" w:hAnsi="Times New Roman" w:eastAsia="仿宋_GB2312" w:cs="Times New Roman"/>
          <w:sz w:val="30"/>
          <w:szCs w:val="30"/>
          <w:highlight w:val="none"/>
          <w:lang w:val="en-US"/>
        </w:rPr>
        <w:t>元，占一般公共预算财政拨款总支出的</w:t>
      </w:r>
      <w:r>
        <w:rPr>
          <w:rFonts w:hint="eastAsia" w:ascii="仿宋_GB2312" w:hAnsi="Times New Roman" w:eastAsia="仿宋_GB2312" w:cs="Times New Roman"/>
          <w:sz w:val="30"/>
          <w:szCs w:val="30"/>
          <w:highlight w:val="none"/>
          <w:lang w:val="en-US" w:eastAsia="zh-CN"/>
        </w:rPr>
        <w:t>8.33</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完成年初预算的</w:t>
      </w:r>
      <w:r>
        <w:rPr>
          <w:rFonts w:hint="eastAsia" w:ascii="仿宋_GB2312" w:hAnsi="Times New Roman" w:eastAsia="仿宋_GB2312" w:cs="Times New Roman"/>
          <w:sz w:val="30"/>
          <w:szCs w:val="30"/>
          <w:highlight w:val="none"/>
          <w:lang w:val="zh-CN"/>
        </w:rPr>
        <w:t>103.22</w:t>
      </w:r>
      <w:r>
        <w:rPr>
          <w:rFonts w:hint="eastAsia" w:ascii="仿宋_GB2312" w:hAnsi="Times New Roman" w:eastAsia="仿宋_GB2312" w:cs="Times New Roman"/>
          <w:sz w:val="30"/>
          <w:szCs w:val="30"/>
          <w:highlight w:val="none"/>
          <w:lang w:val="en-US" w:eastAsia="zh-CN"/>
        </w:rPr>
        <w:t>%</w:t>
      </w:r>
      <w:r>
        <w:rPr>
          <w:rFonts w:hint="eastAsia" w:ascii="仿宋_GB2312" w:hAnsi="Times New Roman" w:eastAsia="仿宋_GB2312" w:cs="Times New Roman"/>
          <w:sz w:val="30"/>
          <w:szCs w:val="30"/>
          <w:highlight w:val="none"/>
          <w:lang w:val="en-US"/>
        </w:rPr>
        <w:t>。主要用于事业单位离退休、基本养老保险及职业年金缴费支出；</w:t>
      </w:r>
      <w:r>
        <w:rPr>
          <w:rFonts w:hint="eastAsia" w:ascii="仿宋_GB2312" w:hAnsi="Times New Roman" w:eastAsia="仿宋_GB2312" w:cs="Times New Roman"/>
          <w:sz w:val="30"/>
          <w:szCs w:val="30"/>
          <w:highlight w:val="none"/>
          <w:lang w:val="en-US" w:eastAsia="zh-CN"/>
        </w:rPr>
        <w:t>造成预决算差异的主要原因是年度中旬社保基数调整，社会保障和就业（类）支出相较年初预算进行了清算调增。</w:t>
      </w:r>
    </w:p>
    <w:p w14:paraId="560CCB48">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9.卫生健康（类）支出</w:t>
      </w:r>
      <w:r>
        <w:rPr>
          <w:rFonts w:hint="eastAsia" w:ascii="仿宋_GB2312" w:hAnsi="Times New Roman" w:eastAsia="仿宋_GB2312" w:cs="Times New Roman"/>
          <w:sz w:val="30"/>
          <w:szCs w:val="30"/>
          <w:highlight w:val="none"/>
          <w:lang w:val="zh-CN"/>
        </w:rPr>
        <w:t>6433304.90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7.18</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完成年初预算的</w:t>
      </w:r>
      <w:r>
        <w:rPr>
          <w:rFonts w:hint="eastAsia" w:ascii="仿宋_GB2312" w:hAnsi="Times New Roman" w:eastAsia="仿宋_GB2312" w:cs="Times New Roman"/>
          <w:sz w:val="30"/>
          <w:szCs w:val="30"/>
          <w:highlight w:val="none"/>
          <w:lang w:val="zh-CN"/>
        </w:rPr>
        <w:t>98.25</w:t>
      </w:r>
      <w:r>
        <w:rPr>
          <w:rFonts w:hint="eastAsia" w:ascii="仿宋_GB2312" w:hAnsi="Times New Roman" w:eastAsia="仿宋_GB2312" w:cs="Times New Roman"/>
          <w:sz w:val="30"/>
          <w:szCs w:val="30"/>
          <w:highlight w:val="none"/>
          <w:lang w:val="en-US" w:eastAsia="zh-CN"/>
        </w:rPr>
        <w:t>%</w:t>
      </w:r>
      <w:r>
        <w:rPr>
          <w:rFonts w:hint="eastAsia" w:ascii="仿宋_GB2312" w:hAnsi="Times New Roman" w:eastAsia="仿宋_GB2312" w:cs="Times New Roman"/>
          <w:sz w:val="30"/>
          <w:szCs w:val="30"/>
          <w:highlight w:val="none"/>
          <w:lang w:val="en-US"/>
        </w:rPr>
        <w:t>。主要用于</w:t>
      </w:r>
      <w:r>
        <w:rPr>
          <w:rFonts w:hint="eastAsia" w:ascii="仿宋_GB2312" w:hAnsi="Times New Roman" w:eastAsia="仿宋_GB2312" w:cs="Times New Roman"/>
          <w:sz w:val="30"/>
          <w:szCs w:val="30"/>
          <w:highlight w:val="none"/>
          <w:lang w:val="en-US" w:eastAsia="zh-CN"/>
        </w:rPr>
        <w:t>事业单位医疗补助支出</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造成预决算差异的主要原因是：我单位2024年退休人员较多，基本支出调整清算后，卫生健康（类）支出相较年初预算减少。</w:t>
      </w:r>
    </w:p>
    <w:p w14:paraId="35E01431">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10.节能环保（类）支出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26A83F56">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11.城乡社区（类）支出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41181104">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12.农林水（类）支出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2547CA2E">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13.交通运输（类）支出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48AB66E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eastAsia="zh-CN"/>
        </w:rPr>
      </w:pPr>
      <w:r>
        <w:rPr>
          <w:rFonts w:hint="eastAsia" w:ascii="仿宋_GB2312" w:hAnsi="Times New Roman" w:eastAsia="仿宋_GB2312" w:cs="Times New Roman"/>
          <w:sz w:val="30"/>
          <w:szCs w:val="30"/>
          <w:highlight w:val="none"/>
          <w:lang w:val="en-US"/>
        </w:rPr>
        <w:t>14.资源勘探工业信息等（类）支出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w:t>
      </w:r>
      <w:r>
        <w:rPr>
          <w:rFonts w:hint="eastAsia" w:ascii="仿宋_GB2312" w:hAnsi="Times New Roman" w:eastAsia="仿宋_GB2312" w:cs="Times New Roman"/>
          <w:sz w:val="30"/>
          <w:szCs w:val="30"/>
          <w:highlight w:val="none"/>
          <w:lang w:eastAsia="zh-CN"/>
        </w:rPr>
        <w:t>无此项预算。</w:t>
      </w:r>
    </w:p>
    <w:p w14:paraId="3A9A337B">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15.商业服务业等（类）支出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51411BDF">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16.金融（类）支出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2B32E394">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17.援助其他地区（类）支出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737DB22D">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18.自然资源海洋气象等（类）支出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42E05375">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19.住房保障（类）支出</w:t>
      </w:r>
      <w:r>
        <w:rPr>
          <w:rFonts w:hint="eastAsia" w:ascii="仿宋_GB2312" w:hAnsi="Times New Roman" w:eastAsia="仿宋_GB2312" w:cs="Times New Roman"/>
          <w:sz w:val="30"/>
          <w:szCs w:val="30"/>
          <w:highlight w:val="none"/>
          <w:lang w:val="zh-CN"/>
        </w:rPr>
        <w:t>4674732.59</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5.22</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完成年初预算的</w:t>
      </w:r>
      <w:r>
        <w:rPr>
          <w:rFonts w:hint="eastAsia" w:ascii="仿宋_GB2312" w:hAnsi="Times New Roman" w:eastAsia="仿宋_GB2312" w:cs="Times New Roman"/>
          <w:sz w:val="30"/>
          <w:szCs w:val="30"/>
          <w:highlight w:val="none"/>
          <w:lang w:val="zh-CN"/>
        </w:rPr>
        <w:t>100.68</w:t>
      </w:r>
      <w:r>
        <w:rPr>
          <w:rFonts w:hint="eastAsia" w:ascii="仿宋_GB2312" w:hAnsi="Times New Roman" w:eastAsia="仿宋_GB2312" w:cs="Times New Roman"/>
          <w:sz w:val="30"/>
          <w:szCs w:val="30"/>
          <w:highlight w:val="none"/>
          <w:lang w:val="en-US" w:eastAsia="zh-CN"/>
        </w:rPr>
        <w:t>%</w:t>
      </w:r>
      <w:r>
        <w:rPr>
          <w:rFonts w:hint="eastAsia" w:ascii="仿宋_GB2312" w:hAnsi="Times New Roman" w:eastAsia="仿宋_GB2312" w:cs="Times New Roman"/>
          <w:sz w:val="30"/>
          <w:szCs w:val="30"/>
          <w:highlight w:val="none"/>
          <w:lang w:val="en-US"/>
        </w:rPr>
        <w:t>。主要用于学校</w:t>
      </w:r>
      <w:r>
        <w:rPr>
          <w:rFonts w:hint="eastAsia" w:ascii="仿宋_GB2312" w:hAnsi="Times New Roman" w:eastAsia="仿宋_GB2312" w:cs="Times New Roman"/>
          <w:sz w:val="30"/>
          <w:szCs w:val="30"/>
          <w:highlight w:val="none"/>
          <w:lang w:val="en-US" w:eastAsia="zh-CN"/>
        </w:rPr>
        <w:t>在职职工住房公积金支出</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造成预决算差异的主要原因是：年度中公积金基数调整，住房公积金清算后较年初预算调高。</w:t>
      </w:r>
    </w:p>
    <w:p w14:paraId="70212FCA">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20.粮油物资储备（类）支出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1C0231D5">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21.国有资本经营预算（类）支出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6733DEE4">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22.灾害防治及应急管理（类）支出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6FCD10E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23.其他（类）支出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22CAB11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24.债务还本（类）支出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15354FBD">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25.债务付息（类）支出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3224164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rPr>
        <w:t>26.抗疫特别国债安排（类）支出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val="en-US"/>
        </w:rPr>
        <w:t>，占一般公共预算财政拨款总支出的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rPr>
        <w:t>%,</w:t>
      </w:r>
      <w:r>
        <w:rPr>
          <w:rFonts w:hint="eastAsia" w:ascii="仿宋_GB2312" w:hAnsi="Times New Roman" w:eastAsia="仿宋_GB2312" w:cs="Times New Roman"/>
          <w:sz w:val="30"/>
          <w:szCs w:val="30"/>
          <w:highlight w:val="none"/>
          <w:lang w:val="en-US" w:eastAsia="zh-CN"/>
        </w:rPr>
        <w:t>年初无此项预算。</w:t>
      </w:r>
    </w:p>
    <w:p w14:paraId="717C291B">
      <w:pPr>
        <w:keepNext w:val="0"/>
        <w:keepLines w:val="0"/>
        <w:pageBreakBefore w:val="0"/>
        <w:widowControl w:val="0"/>
        <w:numPr>
          <w:ilvl w:val="0"/>
          <w:numId w:val="1"/>
        </w:numPr>
        <w:kinsoku/>
        <w:wordWrap/>
        <w:overflowPunct/>
        <w:topLinePunct w:val="0"/>
        <w:autoSpaceDE/>
        <w:autoSpaceDN/>
        <w:bidi w:val="0"/>
        <w:adjustRightInd/>
        <w:snapToGrid w:val="0"/>
        <w:spacing w:before="100" w:after="100" w:line="360" w:lineRule="auto"/>
        <w:ind w:firstLine="600" w:firstLineChars="200"/>
        <w:jc w:val="both"/>
        <w:textAlignment w:val="auto"/>
        <w:outlineLvl w:val="1"/>
        <w:rPr>
          <w:rFonts w:hint="eastAsia" w:ascii="黑体" w:hAnsi="黑体" w:eastAsia="黑体"/>
          <w:sz w:val="30"/>
          <w:szCs w:val="30"/>
          <w:highlight w:val="none"/>
        </w:rPr>
      </w:pPr>
      <w:r>
        <w:rPr>
          <w:rFonts w:hint="eastAsia" w:ascii="黑体" w:hAnsi="黑体" w:eastAsia="黑体"/>
          <w:sz w:val="30"/>
          <w:szCs w:val="30"/>
          <w:highlight w:val="none"/>
        </w:rPr>
        <w:t>财政拨款“三公”经费支出决算情况说明</w:t>
      </w:r>
    </w:p>
    <w:p w14:paraId="67C6174A">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cs="Times New Roman"/>
          <w:sz w:val="30"/>
          <w:szCs w:val="30"/>
          <w:highlight w:val="none"/>
          <w:lang w:val="en-US" w:eastAsia="zh-CN"/>
        </w:rPr>
      </w:pPr>
      <w:r>
        <w:rPr>
          <w:rFonts w:hint="eastAsia" w:ascii="楷体" w:hAnsi="楷体" w:eastAsia="楷体" w:cs="Times New Roman"/>
          <w:sz w:val="30"/>
          <w:szCs w:val="30"/>
          <w:highlight w:val="none"/>
          <w:lang w:val="en-US" w:eastAsia="zh-CN"/>
        </w:rPr>
        <w:t>（一）总体情况</w:t>
      </w:r>
    </w:p>
    <w:p w14:paraId="06963EC5">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eastAsia="zh-CN"/>
        </w:rPr>
      </w:pP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年度财政拨款“三公”经费支出决算中，财政拨款“三公”经费支出</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预算为</w:t>
      </w:r>
      <w:r>
        <w:rPr>
          <w:rFonts w:hint="eastAsia" w:ascii="仿宋_GB2312" w:hAnsi="Times New Roman" w:eastAsia="仿宋_GB2312" w:cs="Times New Roman"/>
          <w:sz w:val="30"/>
          <w:szCs w:val="30"/>
          <w:highlight w:val="none"/>
          <w:lang w:val="en-US" w:eastAsia="zh-CN"/>
        </w:rPr>
        <w:t>42630.00</w:t>
      </w:r>
      <w:r>
        <w:rPr>
          <w:rFonts w:hint="eastAsia" w:ascii="仿宋_GB2312" w:hAnsi="Times New Roman" w:eastAsia="仿宋_GB2312" w:cs="Times New Roman"/>
          <w:sz w:val="30"/>
          <w:szCs w:val="30"/>
          <w:highlight w:val="none"/>
        </w:rPr>
        <w:t>元，决算为</w:t>
      </w:r>
      <w:r>
        <w:rPr>
          <w:rFonts w:hint="eastAsia" w:ascii="仿宋_GB2312" w:hAnsi="Times New Roman" w:eastAsia="仿宋_GB2312" w:cs="Times New Roman"/>
          <w:sz w:val="30"/>
          <w:szCs w:val="30"/>
          <w:highlight w:val="none"/>
          <w:lang w:val="zh-CN"/>
        </w:rPr>
        <w:t>42630.00</w:t>
      </w:r>
      <w:r>
        <w:rPr>
          <w:rFonts w:hint="eastAsia" w:ascii="仿宋_GB2312" w:hAnsi="Times New Roman" w:eastAsia="仿宋_GB2312" w:cs="Times New Roman"/>
          <w:sz w:val="30"/>
          <w:szCs w:val="30"/>
          <w:highlight w:val="none"/>
        </w:rPr>
        <w:t>元，完成</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预算的</w:t>
      </w:r>
      <w:r>
        <w:rPr>
          <w:rFonts w:hint="eastAsia" w:ascii="仿宋_GB2312" w:hAnsi="Times New Roman" w:eastAsia="仿宋_GB2312" w:cs="Times New Roman"/>
          <w:sz w:val="30"/>
          <w:szCs w:val="30"/>
          <w:highlight w:val="none"/>
          <w:lang w:val="zh-CN"/>
        </w:rPr>
        <w:t>100.00</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；支出决算较上年</w:t>
      </w:r>
      <w:r>
        <w:rPr>
          <w:rFonts w:hint="eastAsia" w:ascii="仿宋_GB2312" w:hAnsi="Times New Roman" w:eastAsia="仿宋_GB2312" w:cs="Times New Roman"/>
          <w:sz w:val="30"/>
          <w:szCs w:val="30"/>
          <w:highlight w:val="none"/>
          <w:lang w:val="en-US" w:eastAsia="zh-CN"/>
        </w:rPr>
        <w:t>减少</w:t>
      </w:r>
      <w:r>
        <w:rPr>
          <w:rFonts w:hint="eastAsia" w:ascii="仿宋_GB2312" w:hAnsi="Times New Roman" w:eastAsia="仿宋_GB2312" w:cs="Times New Roman"/>
          <w:sz w:val="30"/>
          <w:szCs w:val="30"/>
          <w:highlight w:val="none"/>
          <w:lang w:val="zh-CN"/>
        </w:rPr>
        <w:t>0.70</w:t>
      </w:r>
      <w:r>
        <w:rPr>
          <w:rFonts w:hint="eastAsia" w:ascii="仿宋_GB2312" w:hAnsi="Times New Roman" w:eastAsia="仿宋_GB2312" w:cs="Times New Roman"/>
          <w:sz w:val="30"/>
          <w:szCs w:val="30"/>
          <w:highlight w:val="none"/>
          <w:lang w:val="en-US" w:eastAsia="zh-CN"/>
        </w:rPr>
        <w:t>元，下降</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0016%</w:t>
      </w:r>
      <w:r>
        <w:rPr>
          <w:rFonts w:hint="eastAsia" w:ascii="仿宋_GB2312" w:hAnsi="Times New Roman" w:eastAsia="仿宋_GB2312" w:cs="Times New Roman"/>
          <w:sz w:val="30"/>
          <w:szCs w:val="30"/>
          <w:highlight w:val="none"/>
          <w:lang w:eastAsia="zh-CN"/>
        </w:rPr>
        <w:t>。</w:t>
      </w:r>
    </w:p>
    <w:p w14:paraId="4DBFF6FB">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eastAsia="zh-CN"/>
        </w:rPr>
      </w:pPr>
      <w:r>
        <w:rPr>
          <w:rFonts w:hint="eastAsia" w:ascii="仿宋_GB2312" w:hAnsi="Times New Roman" w:eastAsia="仿宋_GB2312" w:cs="Times New Roman"/>
          <w:sz w:val="30"/>
          <w:szCs w:val="30"/>
          <w:highlight w:val="none"/>
        </w:rPr>
        <w:t>因公出国（境）费支出</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元</w:t>
      </w:r>
      <w:r>
        <w:rPr>
          <w:rFonts w:hint="eastAsia" w:ascii="仿宋_GB2312" w:hAnsi="Times New Roman" w:eastAsia="仿宋_GB2312" w:cs="Times New Roman"/>
          <w:sz w:val="30"/>
          <w:szCs w:val="30"/>
          <w:highlight w:val="none"/>
          <w:lang w:eastAsia="zh-CN"/>
        </w:rPr>
        <w:t>，决算为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元，占财政拨款“三公”经费</w:t>
      </w:r>
      <w:r>
        <w:rPr>
          <w:rFonts w:hint="eastAsia" w:ascii="仿宋_GB2312" w:hAnsi="Times New Roman" w:eastAsia="仿宋_GB2312" w:cs="Times New Roman"/>
          <w:sz w:val="30"/>
          <w:szCs w:val="30"/>
          <w:highlight w:val="none"/>
          <w:lang w:eastAsia="zh-CN"/>
        </w:rPr>
        <w:t>总支出决算的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%；公务用车购置费支出</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元</w:t>
      </w:r>
      <w:r>
        <w:rPr>
          <w:rFonts w:hint="eastAsia" w:ascii="仿宋_GB2312" w:hAnsi="Times New Roman" w:eastAsia="仿宋_GB2312" w:cs="Times New Roman"/>
          <w:sz w:val="30"/>
          <w:szCs w:val="30"/>
          <w:highlight w:val="none"/>
          <w:lang w:eastAsia="zh-CN"/>
        </w:rPr>
        <w:t>，决算为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元，占财政拨款“三公”经费</w:t>
      </w:r>
      <w:r>
        <w:rPr>
          <w:rFonts w:hint="eastAsia" w:ascii="仿宋_GB2312" w:hAnsi="Times New Roman" w:eastAsia="仿宋_GB2312" w:cs="Times New Roman"/>
          <w:sz w:val="30"/>
          <w:szCs w:val="30"/>
          <w:highlight w:val="none"/>
          <w:lang w:eastAsia="zh-CN"/>
        </w:rPr>
        <w:t>总支出决算的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%；公务用车</w:t>
      </w:r>
      <w:r>
        <w:rPr>
          <w:rFonts w:hint="eastAsia" w:ascii="仿宋_GB2312" w:hAnsi="Times New Roman" w:eastAsia="仿宋_GB2312" w:cs="Times New Roman"/>
          <w:sz w:val="30"/>
          <w:szCs w:val="30"/>
          <w:highlight w:val="none"/>
          <w:lang w:eastAsia="zh-CN"/>
        </w:rPr>
        <w:t>运行维护</w:t>
      </w:r>
      <w:r>
        <w:rPr>
          <w:rFonts w:hint="eastAsia" w:ascii="仿宋_GB2312" w:hAnsi="Times New Roman" w:eastAsia="仿宋_GB2312" w:cs="Times New Roman"/>
          <w:sz w:val="30"/>
          <w:szCs w:val="30"/>
          <w:highlight w:val="none"/>
        </w:rPr>
        <w:t>费支出</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预算为</w:t>
      </w:r>
      <w:r>
        <w:rPr>
          <w:rFonts w:hint="eastAsia" w:ascii="仿宋_GB2312" w:hAnsi="Times New Roman" w:eastAsia="仿宋_GB2312" w:cs="Times New Roman"/>
          <w:sz w:val="30"/>
          <w:szCs w:val="30"/>
          <w:highlight w:val="none"/>
          <w:lang w:val="zh-CN"/>
        </w:rPr>
        <w:t>42630.00</w:t>
      </w:r>
      <w:r>
        <w:rPr>
          <w:rFonts w:hint="eastAsia" w:ascii="仿宋_GB2312" w:hAnsi="Times New Roman" w:eastAsia="仿宋_GB2312" w:cs="Times New Roman"/>
          <w:sz w:val="30"/>
          <w:szCs w:val="30"/>
          <w:highlight w:val="none"/>
        </w:rPr>
        <w:t>元</w:t>
      </w:r>
      <w:r>
        <w:rPr>
          <w:rFonts w:hint="eastAsia" w:ascii="仿宋_GB2312" w:hAnsi="Times New Roman" w:eastAsia="仿宋_GB2312" w:cs="Times New Roman"/>
          <w:sz w:val="30"/>
          <w:szCs w:val="30"/>
          <w:highlight w:val="none"/>
          <w:lang w:eastAsia="zh-CN"/>
        </w:rPr>
        <w:t>，决算为</w:t>
      </w:r>
      <w:r>
        <w:rPr>
          <w:rFonts w:hint="eastAsia" w:ascii="仿宋_GB2312" w:hAnsi="Times New Roman" w:eastAsia="仿宋_GB2312" w:cs="Times New Roman"/>
          <w:sz w:val="30"/>
          <w:szCs w:val="30"/>
          <w:highlight w:val="none"/>
          <w:lang w:val="zh-CN"/>
        </w:rPr>
        <w:t>42630.00</w:t>
      </w:r>
      <w:r>
        <w:rPr>
          <w:rFonts w:hint="eastAsia" w:ascii="仿宋_GB2312" w:hAnsi="Times New Roman" w:eastAsia="仿宋_GB2312" w:cs="Times New Roman"/>
          <w:sz w:val="30"/>
          <w:szCs w:val="30"/>
          <w:highlight w:val="none"/>
        </w:rPr>
        <w:t>元，占财政拨款“三公”经费</w:t>
      </w:r>
      <w:r>
        <w:rPr>
          <w:rFonts w:hint="eastAsia" w:ascii="仿宋_GB2312" w:hAnsi="Times New Roman" w:eastAsia="仿宋_GB2312" w:cs="Times New Roman"/>
          <w:sz w:val="30"/>
          <w:szCs w:val="30"/>
          <w:highlight w:val="none"/>
          <w:lang w:eastAsia="zh-CN"/>
        </w:rPr>
        <w:t>总支出决算的</w:t>
      </w:r>
      <w:r>
        <w:rPr>
          <w:rFonts w:hint="eastAsia" w:ascii="仿宋_GB2312" w:hAnsi="Times New Roman" w:eastAsia="仿宋_GB2312" w:cs="Times New Roman"/>
          <w:sz w:val="30"/>
          <w:szCs w:val="30"/>
          <w:highlight w:val="none"/>
          <w:lang w:val="zh-CN"/>
        </w:rPr>
        <w:t>100.00</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，完成年初预算的</w:t>
      </w:r>
      <w:r>
        <w:rPr>
          <w:rFonts w:hint="eastAsia" w:ascii="仿宋_GB2312" w:hAnsi="Times New Roman" w:eastAsia="仿宋_GB2312" w:cs="Times New Roman"/>
          <w:sz w:val="30"/>
          <w:szCs w:val="30"/>
          <w:highlight w:val="none"/>
          <w:lang w:val="zh-CN"/>
        </w:rPr>
        <w:t>100.00</w:t>
      </w:r>
      <w:r>
        <w:rPr>
          <w:rFonts w:hint="eastAsia" w:ascii="仿宋_GB2312" w:hAnsi="Times New Roman" w:eastAsia="仿宋_GB2312" w:cs="Times New Roman"/>
          <w:sz w:val="30"/>
          <w:szCs w:val="30"/>
          <w:highlight w:val="none"/>
          <w:lang w:val="en-US" w:eastAsia="zh-CN"/>
        </w:rPr>
        <w:t>%；</w:t>
      </w:r>
      <w:r>
        <w:rPr>
          <w:rFonts w:hint="eastAsia" w:ascii="仿宋_GB2312" w:hAnsi="Times New Roman" w:eastAsia="仿宋_GB2312" w:cs="Times New Roman"/>
          <w:sz w:val="30"/>
          <w:szCs w:val="30"/>
          <w:highlight w:val="none"/>
        </w:rPr>
        <w:t>公务接待费支出</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元</w:t>
      </w:r>
      <w:r>
        <w:rPr>
          <w:rFonts w:hint="eastAsia" w:ascii="仿宋_GB2312" w:hAnsi="Times New Roman" w:eastAsia="仿宋_GB2312" w:cs="Times New Roman"/>
          <w:sz w:val="30"/>
          <w:szCs w:val="30"/>
          <w:highlight w:val="none"/>
          <w:lang w:eastAsia="zh-CN"/>
        </w:rPr>
        <w:t>，决算为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元，占财政拨款“三公”经费</w:t>
      </w:r>
      <w:r>
        <w:rPr>
          <w:rFonts w:hint="eastAsia" w:ascii="仿宋_GB2312" w:hAnsi="Times New Roman" w:eastAsia="仿宋_GB2312" w:cs="Times New Roman"/>
          <w:sz w:val="30"/>
          <w:szCs w:val="30"/>
          <w:highlight w:val="none"/>
          <w:lang w:eastAsia="zh-CN"/>
        </w:rPr>
        <w:t>总支出决算的</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w:t>
      </w:r>
    </w:p>
    <w:p w14:paraId="24AAB2DA">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eastAsia="zh-CN"/>
        </w:rPr>
      </w:pPr>
      <w:r>
        <w:rPr>
          <w:rFonts w:hint="eastAsia" w:ascii="仿宋_GB2312" w:hAnsi="Times New Roman" w:eastAsia="仿宋_GB2312" w:cs="Times New Roman"/>
          <w:sz w:val="30"/>
          <w:szCs w:val="30"/>
          <w:highlight w:val="none"/>
        </w:rPr>
        <w:t>因公出国（境）费</w:t>
      </w:r>
      <w:r>
        <w:rPr>
          <w:rFonts w:hint="eastAsia" w:ascii="仿宋_GB2312" w:hAnsi="Times New Roman" w:eastAsia="仿宋_GB2312" w:cs="Times New Roman"/>
          <w:sz w:val="30"/>
          <w:szCs w:val="30"/>
          <w:highlight w:val="none"/>
          <w:lang w:eastAsia="zh-CN"/>
        </w:rPr>
        <w:t>支出决算较上年增加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eastAsia="zh-CN"/>
        </w:rPr>
        <w:t>上年无此项支出；</w:t>
      </w:r>
      <w:r>
        <w:rPr>
          <w:rFonts w:hint="eastAsia" w:ascii="仿宋_GB2312" w:hAnsi="Times New Roman" w:eastAsia="仿宋_GB2312" w:cs="Times New Roman"/>
          <w:sz w:val="30"/>
          <w:szCs w:val="30"/>
          <w:highlight w:val="none"/>
        </w:rPr>
        <w:t>公务用车购置费</w:t>
      </w:r>
      <w:r>
        <w:rPr>
          <w:rFonts w:hint="eastAsia" w:ascii="仿宋_GB2312" w:hAnsi="Times New Roman" w:eastAsia="仿宋_GB2312" w:cs="Times New Roman"/>
          <w:sz w:val="30"/>
          <w:szCs w:val="30"/>
          <w:highlight w:val="none"/>
          <w:lang w:eastAsia="zh-CN"/>
        </w:rPr>
        <w:t>支出决算较上年增加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eastAsia="zh-CN"/>
        </w:rPr>
        <w:t>上年无此项支出；</w:t>
      </w:r>
      <w:r>
        <w:rPr>
          <w:rFonts w:hint="eastAsia" w:ascii="仿宋_GB2312" w:hAnsi="Times New Roman" w:eastAsia="仿宋_GB2312" w:cs="Times New Roman"/>
          <w:sz w:val="30"/>
          <w:szCs w:val="30"/>
          <w:highlight w:val="none"/>
        </w:rPr>
        <w:t>公务用车</w:t>
      </w:r>
      <w:r>
        <w:rPr>
          <w:rFonts w:hint="eastAsia" w:ascii="仿宋_GB2312" w:hAnsi="Times New Roman" w:eastAsia="仿宋_GB2312" w:cs="Times New Roman"/>
          <w:sz w:val="30"/>
          <w:szCs w:val="30"/>
          <w:highlight w:val="none"/>
          <w:lang w:eastAsia="zh-CN"/>
        </w:rPr>
        <w:t>运行维护费支出决算较上年</w:t>
      </w:r>
      <w:r>
        <w:rPr>
          <w:rFonts w:hint="eastAsia" w:ascii="仿宋_GB2312" w:hAnsi="Times New Roman" w:eastAsia="仿宋_GB2312" w:cs="Times New Roman"/>
          <w:sz w:val="30"/>
          <w:szCs w:val="30"/>
          <w:highlight w:val="none"/>
          <w:lang w:val="en-US" w:eastAsia="zh-CN"/>
        </w:rPr>
        <w:t>减少</w:t>
      </w:r>
      <w:r>
        <w:rPr>
          <w:rFonts w:hint="eastAsia" w:ascii="仿宋_GB2312" w:hAnsi="Times New Roman" w:eastAsia="仿宋_GB2312" w:cs="Times New Roman"/>
          <w:sz w:val="30"/>
          <w:szCs w:val="30"/>
          <w:highlight w:val="none"/>
          <w:lang w:val="zh-CN"/>
        </w:rPr>
        <w:t>0.70</w:t>
      </w:r>
      <w:r>
        <w:rPr>
          <w:rFonts w:hint="eastAsia" w:ascii="仿宋_GB2312" w:hAnsi="Times New Roman" w:eastAsia="仿宋_GB2312" w:cs="Times New Roman"/>
          <w:sz w:val="30"/>
          <w:szCs w:val="30"/>
          <w:highlight w:val="none"/>
          <w:lang w:val="en-US" w:eastAsia="zh-CN"/>
        </w:rPr>
        <w:t>元，下降</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0016%</w:t>
      </w:r>
      <w:r>
        <w:rPr>
          <w:rFonts w:hint="eastAsia" w:ascii="仿宋_GB2312" w:hAnsi="Times New Roman" w:eastAsia="仿宋_GB2312" w:cs="Times New Roman"/>
          <w:sz w:val="30"/>
          <w:szCs w:val="30"/>
          <w:highlight w:val="none"/>
          <w:lang w:eastAsia="zh-CN"/>
        </w:rPr>
        <w:t>；</w:t>
      </w:r>
      <w:r>
        <w:rPr>
          <w:rFonts w:hint="eastAsia" w:ascii="仿宋_GB2312" w:hAnsi="Times New Roman" w:eastAsia="仿宋_GB2312" w:cs="Times New Roman"/>
          <w:sz w:val="30"/>
          <w:szCs w:val="30"/>
          <w:highlight w:val="none"/>
        </w:rPr>
        <w:t>公务接待费</w:t>
      </w:r>
      <w:r>
        <w:rPr>
          <w:rFonts w:hint="eastAsia" w:ascii="仿宋_GB2312" w:hAnsi="Times New Roman" w:eastAsia="仿宋_GB2312" w:cs="Times New Roman"/>
          <w:sz w:val="30"/>
          <w:szCs w:val="30"/>
          <w:highlight w:val="none"/>
          <w:lang w:eastAsia="zh-CN"/>
        </w:rPr>
        <w:t>支出决算较上年增加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eastAsia="zh-CN"/>
        </w:rPr>
        <w:t>上年无此项支出；具体是国内接待费支出决算</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元（其中：外事接待费支出决算</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元），较上年增加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eastAsia="zh-CN"/>
        </w:rPr>
        <w:t>上年无此项支出；国（境）外接待费支出决算</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元较上年增加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r>
        <w:rPr>
          <w:rFonts w:hint="eastAsia" w:ascii="仿宋_GB2312" w:hAnsi="Times New Roman" w:eastAsia="仿宋_GB2312" w:cs="Times New Roman"/>
          <w:sz w:val="30"/>
          <w:szCs w:val="30"/>
          <w:highlight w:val="none"/>
          <w:lang w:eastAsia="zh-CN"/>
        </w:rPr>
        <w:t>上年无此项支出。</w:t>
      </w:r>
    </w:p>
    <w:p w14:paraId="4EE7AE93">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cs="Times New Roman"/>
          <w:sz w:val="30"/>
          <w:szCs w:val="30"/>
          <w:highlight w:val="none"/>
          <w:lang w:val="en-US" w:eastAsia="zh-CN"/>
        </w:rPr>
      </w:pPr>
      <w:r>
        <w:rPr>
          <w:rFonts w:hint="eastAsia" w:ascii="楷体" w:hAnsi="楷体" w:eastAsia="楷体" w:cs="Times New Roman"/>
          <w:sz w:val="30"/>
          <w:szCs w:val="30"/>
          <w:highlight w:val="none"/>
          <w:lang w:val="en-US" w:eastAsia="zh-CN"/>
        </w:rPr>
        <w:t>（二）一般公共预算财政拨款“三公”经费支出决算情况说明</w:t>
      </w:r>
    </w:p>
    <w:p w14:paraId="73AAB6A4">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eastAsia="zh-CN"/>
        </w:rPr>
      </w:pP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年度一般公共预算财政拨款“三公”经费支出</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预算为</w:t>
      </w:r>
      <w:r>
        <w:rPr>
          <w:rFonts w:hint="eastAsia" w:ascii="仿宋_GB2312" w:hAnsi="Times New Roman" w:eastAsia="仿宋_GB2312" w:cs="Times New Roman"/>
          <w:sz w:val="30"/>
          <w:szCs w:val="30"/>
          <w:highlight w:val="none"/>
          <w:lang w:val="zh-CN"/>
        </w:rPr>
        <w:t>42630.00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，支出决算为</w:t>
      </w:r>
      <w:r>
        <w:rPr>
          <w:rFonts w:hint="eastAsia" w:ascii="仿宋_GB2312" w:hAnsi="Times New Roman" w:eastAsia="仿宋_GB2312" w:cs="Times New Roman"/>
          <w:sz w:val="30"/>
          <w:szCs w:val="30"/>
          <w:highlight w:val="none"/>
          <w:lang w:val="zh-CN"/>
        </w:rPr>
        <w:t>42630.00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，完成</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预算的</w:t>
      </w:r>
      <w:r>
        <w:rPr>
          <w:rFonts w:hint="eastAsia" w:ascii="仿宋_GB2312" w:hAnsi="Times New Roman" w:eastAsia="仿宋_GB2312" w:cs="Times New Roman"/>
          <w:sz w:val="30"/>
          <w:szCs w:val="30"/>
          <w:highlight w:val="none"/>
          <w:lang w:val="zh-CN"/>
        </w:rPr>
        <w:t>100.00</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，支出决算较上年</w:t>
      </w:r>
      <w:r>
        <w:rPr>
          <w:rFonts w:hint="eastAsia" w:ascii="仿宋_GB2312" w:hAnsi="Times New Roman" w:eastAsia="仿宋_GB2312" w:cs="Times New Roman"/>
          <w:sz w:val="30"/>
          <w:szCs w:val="30"/>
          <w:highlight w:val="none"/>
          <w:lang w:val="en-US" w:eastAsia="zh-CN"/>
        </w:rPr>
        <w:t>减少</w:t>
      </w:r>
      <w:r>
        <w:rPr>
          <w:rFonts w:hint="eastAsia" w:ascii="仿宋_GB2312" w:hAnsi="Times New Roman" w:eastAsia="仿宋_GB2312" w:cs="Times New Roman"/>
          <w:sz w:val="30"/>
          <w:szCs w:val="30"/>
          <w:highlight w:val="none"/>
          <w:lang w:val="zh-CN"/>
        </w:rPr>
        <w:t>0.70</w:t>
      </w:r>
      <w:r>
        <w:rPr>
          <w:rFonts w:hint="eastAsia" w:ascii="仿宋_GB2312" w:hAnsi="Times New Roman" w:eastAsia="仿宋_GB2312" w:cs="Times New Roman"/>
          <w:sz w:val="30"/>
          <w:szCs w:val="30"/>
          <w:highlight w:val="none"/>
          <w:lang w:val="en-US" w:eastAsia="zh-CN"/>
        </w:rPr>
        <w:t>元，下降</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0016%</w:t>
      </w:r>
      <w:r>
        <w:rPr>
          <w:rFonts w:hint="eastAsia" w:ascii="仿宋_GB2312" w:hAnsi="Times New Roman" w:eastAsia="仿宋_GB2312" w:cs="Times New Roman"/>
          <w:sz w:val="30"/>
          <w:szCs w:val="30"/>
          <w:highlight w:val="none"/>
          <w:lang w:eastAsia="zh-CN"/>
        </w:rPr>
        <w:t>。</w:t>
      </w:r>
    </w:p>
    <w:p w14:paraId="707B215C">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rPr>
        <w:t>一般公共预算财政拨款“三公”经费支出</w:t>
      </w:r>
      <w:r>
        <w:rPr>
          <w:rFonts w:hint="eastAsia" w:ascii="仿宋_GB2312" w:hAnsi="Times New Roman" w:eastAsia="仿宋_GB2312" w:cs="Times New Roman"/>
          <w:sz w:val="30"/>
          <w:szCs w:val="30"/>
          <w:highlight w:val="none"/>
          <w:lang w:eastAsia="zh-CN"/>
        </w:rPr>
        <w:t>中：</w:t>
      </w:r>
      <w:r>
        <w:rPr>
          <w:rFonts w:hint="eastAsia" w:ascii="仿宋_GB2312" w:hAnsi="Times New Roman" w:eastAsia="仿宋_GB2312" w:cs="Times New Roman"/>
          <w:sz w:val="30"/>
          <w:szCs w:val="30"/>
          <w:highlight w:val="none"/>
        </w:rPr>
        <w:t>因公出国（境）费支出</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，决算为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；公务用车购置费支出</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，决算为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；公务用车</w:t>
      </w:r>
      <w:r>
        <w:rPr>
          <w:rFonts w:hint="eastAsia" w:ascii="仿宋_GB2312" w:hAnsi="Times New Roman" w:eastAsia="仿宋_GB2312" w:cs="Times New Roman"/>
          <w:sz w:val="30"/>
          <w:szCs w:val="30"/>
          <w:highlight w:val="none"/>
          <w:lang w:eastAsia="zh-CN"/>
        </w:rPr>
        <w:t>运行维护费</w:t>
      </w:r>
      <w:r>
        <w:rPr>
          <w:rFonts w:hint="eastAsia" w:ascii="仿宋_GB2312" w:hAnsi="Times New Roman" w:eastAsia="仿宋_GB2312" w:cs="Times New Roman"/>
          <w:sz w:val="30"/>
          <w:szCs w:val="30"/>
          <w:highlight w:val="none"/>
        </w:rPr>
        <w:t>支出</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预算为</w:t>
      </w:r>
      <w:r>
        <w:rPr>
          <w:rFonts w:hint="eastAsia" w:ascii="仿宋_GB2312" w:hAnsi="Times New Roman" w:eastAsia="仿宋_GB2312" w:cs="Times New Roman"/>
          <w:sz w:val="30"/>
          <w:szCs w:val="30"/>
          <w:highlight w:val="none"/>
          <w:lang w:val="zh-CN"/>
        </w:rPr>
        <w:t>42630.00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，决算为</w:t>
      </w:r>
      <w:r>
        <w:rPr>
          <w:rFonts w:hint="eastAsia" w:ascii="仿宋_GB2312" w:hAnsi="Times New Roman" w:eastAsia="仿宋_GB2312" w:cs="Times New Roman"/>
          <w:sz w:val="30"/>
          <w:szCs w:val="30"/>
          <w:highlight w:val="none"/>
          <w:lang w:val="zh-CN"/>
        </w:rPr>
        <w:t>42630.00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，完成</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预算的</w:t>
      </w:r>
      <w:r>
        <w:rPr>
          <w:rFonts w:hint="eastAsia" w:ascii="仿宋_GB2312" w:hAnsi="Times New Roman" w:eastAsia="仿宋_GB2312" w:cs="Times New Roman"/>
          <w:sz w:val="30"/>
          <w:szCs w:val="30"/>
          <w:highlight w:val="none"/>
          <w:lang w:val="zh-CN"/>
        </w:rPr>
        <w:t>100.00</w:t>
      </w:r>
      <w:r>
        <w:rPr>
          <w:rFonts w:hint="eastAsia" w:ascii="仿宋_GB2312" w:hAnsi="Times New Roman" w:eastAsia="仿宋_GB2312" w:cs="Times New Roman"/>
          <w:sz w:val="30"/>
          <w:szCs w:val="30"/>
          <w:highlight w:val="none"/>
        </w:rPr>
        <w:t>%；公务接待费支出</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，决算为</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年度一般公共预算财政拨款“三公”经费支出决算数</w:t>
      </w:r>
      <w:r>
        <w:rPr>
          <w:rFonts w:hint="eastAsia" w:ascii="仿宋_GB2312" w:hAnsi="Times New Roman" w:eastAsia="仿宋_GB2312" w:cs="Times New Roman"/>
          <w:sz w:val="30"/>
          <w:szCs w:val="30"/>
          <w:highlight w:val="none"/>
          <w:lang w:val="en-US" w:eastAsia="zh-CN"/>
        </w:rPr>
        <w:t>与</w:t>
      </w:r>
      <w:r>
        <w:rPr>
          <w:rFonts w:hint="eastAsia" w:ascii="仿宋_GB2312" w:hAnsi="Times New Roman" w:eastAsia="仿宋_GB2312" w:cs="Times New Roman"/>
          <w:sz w:val="30"/>
          <w:szCs w:val="30"/>
          <w:highlight w:val="none"/>
          <w:lang w:eastAsia="zh-CN"/>
        </w:rPr>
        <w:t>年初</w:t>
      </w:r>
      <w:r>
        <w:rPr>
          <w:rFonts w:hint="eastAsia" w:ascii="仿宋_GB2312" w:hAnsi="Times New Roman" w:eastAsia="仿宋_GB2312" w:cs="Times New Roman"/>
          <w:sz w:val="30"/>
          <w:szCs w:val="30"/>
          <w:highlight w:val="none"/>
        </w:rPr>
        <w:t>预算数</w:t>
      </w:r>
      <w:r>
        <w:rPr>
          <w:rFonts w:hint="eastAsia" w:ascii="仿宋_GB2312" w:hAnsi="Times New Roman" w:eastAsia="仿宋_GB2312" w:cs="Times New Roman"/>
          <w:sz w:val="30"/>
          <w:szCs w:val="30"/>
          <w:highlight w:val="none"/>
          <w:lang w:val="en-US" w:eastAsia="zh-CN"/>
        </w:rPr>
        <w:t>相同</w:t>
      </w:r>
      <w:r>
        <w:rPr>
          <w:rFonts w:hint="eastAsia" w:ascii="仿宋_GB2312" w:hAnsi="Times New Roman" w:eastAsia="仿宋_GB2312" w:cs="Times New Roman"/>
          <w:sz w:val="30"/>
          <w:szCs w:val="30"/>
          <w:highlight w:val="none"/>
        </w:rPr>
        <w:t>。</w:t>
      </w:r>
    </w:p>
    <w:p w14:paraId="2A8EFB4D">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rPr>
        <w:t>一般公共预算财政拨款“三公”经费支出</w:t>
      </w:r>
      <w:r>
        <w:rPr>
          <w:rFonts w:hint="eastAsia" w:ascii="仿宋_GB2312" w:hAnsi="Times New Roman" w:eastAsia="仿宋_GB2312" w:cs="Times New Roman"/>
          <w:sz w:val="30"/>
          <w:szCs w:val="30"/>
          <w:highlight w:val="none"/>
          <w:lang w:eastAsia="zh-CN"/>
        </w:rPr>
        <w:t>中：</w:t>
      </w:r>
      <w:r>
        <w:rPr>
          <w:rFonts w:hint="eastAsia" w:ascii="仿宋_GB2312" w:hAnsi="Times New Roman" w:eastAsia="仿宋_GB2312" w:cs="Times New Roman"/>
          <w:sz w:val="30"/>
          <w:szCs w:val="30"/>
          <w:highlight w:val="none"/>
        </w:rPr>
        <w:t>因公出国（境）费支出决算增加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上年无此项支出</w:t>
      </w:r>
      <w:r>
        <w:rPr>
          <w:rFonts w:hint="eastAsia" w:ascii="仿宋_GB2312" w:hAnsi="Times New Roman" w:eastAsia="仿宋_GB2312" w:cs="Times New Roman"/>
          <w:sz w:val="30"/>
          <w:szCs w:val="30"/>
          <w:highlight w:val="none"/>
        </w:rPr>
        <w:t>；公务用车购置费支出决算增加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上年无此项支出</w:t>
      </w:r>
      <w:r>
        <w:rPr>
          <w:rFonts w:hint="eastAsia" w:ascii="仿宋_GB2312" w:hAnsi="Times New Roman" w:eastAsia="仿宋_GB2312" w:cs="Times New Roman"/>
          <w:sz w:val="30"/>
          <w:szCs w:val="30"/>
          <w:highlight w:val="none"/>
        </w:rPr>
        <w:t>；公务用车</w:t>
      </w:r>
      <w:r>
        <w:rPr>
          <w:rFonts w:hint="eastAsia" w:ascii="仿宋_GB2312" w:hAnsi="Times New Roman" w:eastAsia="仿宋_GB2312" w:cs="Times New Roman"/>
          <w:sz w:val="30"/>
          <w:szCs w:val="30"/>
          <w:highlight w:val="none"/>
          <w:lang w:eastAsia="zh-CN"/>
        </w:rPr>
        <w:t>运行维护费</w:t>
      </w:r>
      <w:r>
        <w:rPr>
          <w:rFonts w:hint="eastAsia" w:ascii="仿宋_GB2312" w:hAnsi="Times New Roman" w:eastAsia="仿宋_GB2312" w:cs="Times New Roman"/>
          <w:sz w:val="30"/>
          <w:szCs w:val="30"/>
          <w:highlight w:val="none"/>
        </w:rPr>
        <w:t>支出决算减少</w:t>
      </w:r>
      <w:r>
        <w:rPr>
          <w:rFonts w:hint="eastAsia" w:ascii="仿宋_GB2312" w:hAnsi="Times New Roman" w:eastAsia="仿宋_GB2312" w:cs="Times New Roman"/>
          <w:sz w:val="30"/>
          <w:szCs w:val="30"/>
          <w:highlight w:val="none"/>
          <w:lang w:val="zh-CN"/>
        </w:rPr>
        <w:t>0.70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，下降</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0016</w:t>
      </w:r>
      <w:r>
        <w:rPr>
          <w:rFonts w:hint="eastAsia" w:ascii="仿宋_GB2312" w:hAnsi="Times New Roman" w:eastAsia="仿宋_GB2312" w:cs="Times New Roman"/>
          <w:sz w:val="30"/>
          <w:szCs w:val="30"/>
          <w:highlight w:val="none"/>
        </w:rPr>
        <w:t>%；公务接待费支出决算增加</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w:t>
      </w:r>
      <w:r>
        <w:rPr>
          <w:rFonts w:hint="eastAsia" w:ascii="仿宋_GB2312" w:hAnsi="Times New Roman" w:eastAsia="仿宋_GB2312" w:cs="Times New Roman"/>
          <w:sz w:val="30"/>
          <w:szCs w:val="30"/>
          <w:highlight w:val="none"/>
        </w:rPr>
        <w:t>，</w:t>
      </w:r>
      <w:r>
        <w:rPr>
          <w:rFonts w:hint="eastAsia" w:ascii="仿宋_GB2312" w:hAnsi="Times New Roman" w:eastAsia="仿宋_GB2312" w:cs="Times New Roman"/>
          <w:sz w:val="30"/>
          <w:szCs w:val="30"/>
          <w:highlight w:val="none"/>
          <w:lang w:eastAsia="zh-CN"/>
        </w:rPr>
        <w:t>上年无此项支出，具体是国内接待费支出决算</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元（其中：外事接待费支出决算</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元），较上年增加</w:t>
      </w:r>
      <w:r>
        <w:rPr>
          <w:rFonts w:hint="eastAsia" w:ascii="仿宋_GB2312" w:hAnsi="Times New Roman" w:eastAsia="仿宋_GB2312" w:cs="Times New Roman"/>
          <w:sz w:val="30"/>
          <w:szCs w:val="30"/>
          <w:highlight w:val="none"/>
          <w:lang w:val="en-US" w:eastAsia="zh-CN"/>
        </w:rPr>
        <w:t>0.00元，</w:t>
      </w:r>
      <w:r>
        <w:rPr>
          <w:rFonts w:hint="eastAsia" w:ascii="仿宋_GB2312" w:hAnsi="Times New Roman" w:eastAsia="仿宋_GB2312" w:cs="Times New Roman"/>
          <w:sz w:val="30"/>
          <w:szCs w:val="30"/>
          <w:highlight w:val="none"/>
          <w:lang w:eastAsia="zh-CN"/>
        </w:rPr>
        <w:t>上年无此项支出；国（境）外接待费支出决算</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eastAsia="zh-CN"/>
        </w:rPr>
        <w:t>元，较上年增加</w:t>
      </w:r>
      <w:r>
        <w:rPr>
          <w:rFonts w:hint="eastAsia" w:ascii="仿宋_GB2312" w:hAnsi="Times New Roman" w:eastAsia="仿宋_GB2312" w:cs="Times New Roman"/>
          <w:sz w:val="30"/>
          <w:szCs w:val="30"/>
          <w:highlight w:val="none"/>
          <w:lang w:val="en-US" w:eastAsia="zh-CN"/>
        </w:rPr>
        <w:t>0.00元，</w:t>
      </w:r>
      <w:r>
        <w:rPr>
          <w:rFonts w:hint="eastAsia" w:ascii="仿宋_GB2312" w:hAnsi="Times New Roman" w:eastAsia="仿宋_GB2312" w:cs="Times New Roman"/>
          <w:sz w:val="30"/>
          <w:szCs w:val="30"/>
          <w:highlight w:val="none"/>
          <w:lang w:eastAsia="zh-CN"/>
        </w:rPr>
        <w:t>上年无此项支出。</w:t>
      </w: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rPr>
        <w:t>年度一般公共预算财政拨款“三公”经费支出决算减少的主要原因</w:t>
      </w:r>
      <w:r>
        <w:rPr>
          <w:rFonts w:hint="eastAsia" w:ascii="仿宋_GB2312" w:hAnsi="Times New Roman" w:eastAsia="仿宋_GB2312" w:cs="Times New Roman"/>
          <w:sz w:val="30"/>
          <w:szCs w:val="30"/>
          <w:highlight w:val="none"/>
          <w:lang w:eastAsia="zh-CN"/>
        </w:rPr>
        <w:t>是：</w:t>
      </w:r>
      <w:r>
        <w:rPr>
          <w:rFonts w:hint="eastAsia" w:ascii="仿宋_GB2312" w:hAnsi="Times New Roman" w:eastAsia="仿宋_GB2312" w:cs="Times New Roman"/>
          <w:sz w:val="30"/>
          <w:szCs w:val="30"/>
          <w:highlight w:val="none"/>
          <w:lang w:val="en-US" w:eastAsia="zh-CN"/>
        </w:rPr>
        <w:t>我单位践行厉行节约，减少不必要的公务出行，故公务用车运行维护费减少</w:t>
      </w:r>
      <w:r>
        <w:rPr>
          <w:rFonts w:hint="eastAsia" w:ascii="仿宋_GB2312" w:hAnsi="Times New Roman" w:eastAsia="仿宋_GB2312" w:cs="Times New Roman"/>
          <w:sz w:val="30"/>
          <w:szCs w:val="30"/>
          <w:highlight w:val="none"/>
        </w:rPr>
        <w:t>。</w:t>
      </w:r>
    </w:p>
    <w:p w14:paraId="05B73D84">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cs="Times New Roman"/>
          <w:sz w:val="30"/>
          <w:szCs w:val="30"/>
          <w:highlight w:val="none"/>
          <w:lang w:val="en-US" w:eastAsia="zh-CN"/>
        </w:rPr>
      </w:pPr>
      <w:r>
        <w:rPr>
          <w:rFonts w:hint="eastAsia" w:ascii="楷体" w:hAnsi="楷体" w:eastAsia="楷体" w:cs="Times New Roman"/>
          <w:sz w:val="30"/>
          <w:szCs w:val="30"/>
          <w:highlight w:val="none"/>
          <w:lang w:val="en-US" w:eastAsia="zh-CN"/>
        </w:rPr>
        <w:t>（三）一般公共预算财政拨款“三公”经费支出实物量的具体情况</w:t>
      </w:r>
    </w:p>
    <w:p w14:paraId="440D87A5">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rPr>
        <w:t>1.安排因公出国（境）团组</w:t>
      </w:r>
      <w:r>
        <w:rPr>
          <w:rFonts w:hint="eastAsia" w:ascii="仿宋_GB2312" w:hAnsi="Times New Roman" w:eastAsia="仿宋_GB2312" w:cs="Times New Roman"/>
          <w:sz w:val="30"/>
          <w:szCs w:val="30"/>
          <w:highlight w:val="none"/>
          <w:lang w:val="zh-CN"/>
        </w:rPr>
        <w:t>0</w:t>
      </w:r>
      <w:r>
        <w:rPr>
          <w:rFonts w:hint="eastAsia" w:ascii="仿宋_GB2312" w:hAnsi="Times New Roman" w:eastAsia="仿宋_GB2312" w:cs="Times New Roman"/>
          <w:sz w:val="30"/>
          <w:szCs w:val="30"/>
          <w:highlight w:val="none"/>
        </w:rPr>
        <w:t>个，累计</w:t>
      </w:r>
      <w:r>
        <w:rPr>
          <w:rFonts w:hint="eastAsia" w:ascii="仿宋_GB2312" w:hAnsi="Times New Roman" w:eastAsia="仿宋_GB2312" w:cs="Times New Roman"/>
          <w:sz w:val="30"/>
          <w:szCs w:val="30"/>
          <w:highlight w:val="none"/>
          <w:lang w:val="zh-CN"/>
        </w:rPr>
        <w:t>0</w:t>
      </w:r>
      <w:r>
        <w:rPr>
          <w:rFonts w:hint="eastAsia" w:ascii="仿宋_GB2312" w:hAnsi="Times New Roman" w:eastAsia="仿宋_GB2312" w:cs="Times New Roman"/>
          <w:sz w:val="30"/>
          <w:szCs w:val="30"/>
          <w:highlight w:val="none"/>
        </w:rPr>
        <w:t>人次。开展内容包括：</w:t>
      </w:r>
      <w:r>
        <w:rPr>
          <w:rFonts w:hint="eastAsia" w:ascii="仿宋_GB2312" w:hAnsi="Times New Roman" w:eastAsia="仿宋_GB2312" w:cs="Times New Roman"/>
          <w:sz w:val="30"/>
          <w:szCs w:val="30"/>
          <w:highlight w:val="none"/>
          <w:lang w:val="en-US" w:eastAsia="zh-CN"/>
        </w:rPr>
        <w:t>无</w:t>
      </w:r>
      <w:r>
        <w:rPr>
          <w:rFonts w:hint="eastAsia" w:ascii="仿宋_GB2312" w:hAnsi="Times New Roman" w:eastAsia="仿宋_GB2312" w:cs="Times New Roman"/>
          <w:sz w:val="30"/>
          <w:szCs w:val="30"/>
          <w:highlight w:val="none"/>
        </w:rPr>
        <w:t>。</w:t>
      </w:r>
    </w:p>
    <w:p w14:paraId="319AC7FF">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eastAsia="zh-CN"/>
        </w:rPr>
      </w:pPr>
      <w:r>
        <w:rPr>
          <w:rFonts w:hint="eastAsia" w:ascii="仿宋_GB2312" w:hAnsi="Times New Roman" w:eastAsia="仿宋_GB2312" w:cs="Times New Roman"/>
          <w:sz w:val="30"/>
          <w:szCs w:val="30"/>
          <w:highlight w:val="none"/>
        </w:rPr>
        <w:t>2.购置车辆</w:t>
      </w:r>
      <w:r>
        <w:rPr>
          <w:rFonts w:hint="eastAsia" w:ascii="仿宋_GB2312" w:hAnsi="Times New Roman" w:eastAsia="仿宋_GB2312" w:cs="Times New Roman"/>
          <w:sz w:val="30"/>
          <w:szCs w:val="30"/>
          <w:highlight w:val="none"/>
          <w:lang w:val="zh-CN"/>
        </w:rPr>
        <w:t>0</w:t>
      </w:r>
      <w:r>
        <w:rPr>
          <w:rFonts w:hint="eastAsia" w:ascii="仿宋_GB2312" w:hAnsi="Times New Roman" w:eastAsia="仿宋_GB2312" w:cs="Times New Roman"/>
          <w:sz w:val="30"/>
          <w:szCs w:val="30"/>
          <w:highlight w:val="none"/>
        </w:rPr>
        <w:t>辆。开支一般公共预算财政拨款的公务用车保有量为</w:t>
      </w:r>
      <w:r>
        <w:rPr>
          <w:rFonts w:hint="eastAsia" w:ascii="仿宋_GB2312" w:hAnsi="Times New Roman" w:eastAsia="仿宋_GB2312" w:cs="Times New Roman"/>
          <w:sz w:val="30"/>
          <w:szCs w:val="30"/>
          <w:highlight w:val="none"/>
          <w:lang w:val="zh-CN"/>
        </w:rPr>
        <w:t>3</w:t>
      </w:r>
      <w:r>
        <w:rPr>
          <w:rFonts w:hint="eastAsia" w:ascii="仿宋_GB2312" w:hAnsi="Times New Roman" w:eastAsia="仿宋_GB2312" w:cs="Times New Roman"/>
          <w:sz w:val="30"/>
          <w:szCs w:val="30"/>
          <w:highlight w:val="none"/>
        </w:rPr>
        <w:t>辆。主要用于</w:t>
      </w:r>
      <w:r>
        <w:rPr>
          <w:rFonts w:hint="eastAsia" w:ascii="仿宋_GB2312" w:hAnsi="Times New Roman" w:eastAsia="仿宋_GB2312" w:cs="Times New Roman"/>
          <w:sz w:val="30"/>
          <w:szCs w:val="30"/>
          <w:highlight w:val="none"/>
          <w:lang w:val="en-US"/>
        </w:rPr>
        <w:t>教师、行政后勤教职工外出办理公务、培训所需车辆燃料费、维修费、过路过桥费、保险费等</w:t>
      </w:r>
      <w:r>
        <w:rPr>
          <w:rFonts w:hint="eastAsia" w:ascii="仿宋_GB2312" w:hAnsi="Times New Roman" w:eastAsia="仿宋_GB2312" w:cs="Times New Roman"/>
          <w:sz w:val="30"/>
          <w:szCs w:val="30"/>
          <w:highlight w:val="none"/>
          <w:lang w:val="en-US" w:eastAsia="zh-CN"/>
        </w:rPr>
        <w:t>。</w:t>
      </w:r>
    </w:p>
    <w:p w14:paraId="3E38322F">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rPr>
      </w:pPr>
      <w:r>
        <w:rPr>
          <w:rFonts w:hint="eastAsia" w:ascii="仿宋_GB2312" w:hAnsi="Times New Roman" w:eastAsia="仿宋_GB2312" w:cs="Times New Roman"/>
          <w:sz w:val="30"/>
          <w:szCs w:val="30"/>
          <w:highlight w:val="none"/>
        </w:rPr>
        <w:t>3.安排国内公务接待</w:t>
      </w:r>
      <w:r>
        <w:rPr>
          <w:rFonts w:hint="eastAsia" w:ascii="仿宋_GB2312" w:hAnsi="Times New Roman" w:eastAsia="仿宋_GB2312" w:cs="Times New Roman"/>
          <w:sz w:val="30"/>
          <w:szCs w:val="30"/>
          <w:highlight w:val="none"/>
          <w:lang w:val="zh-CN"/>
        </w:rPr>
        <w:t>0</w:t>
      </w:r>
      <w:r>
        <w:rPr>
          <w:rFonts w:hint="eastAsia" w:ascii="仿宋_GB2312" w:hAnsi="Times New Roman" w:eastAsia="仿宋_GB2312" w:cs="Times New Roman"/>
          <w:sz w:val="30"/>
          <w:szCs w:val="30"/>
          <w:highlight w:val="none"/>
        </w:rPr>
        <w:t>批次（其中：外事接待</w:t>
      </w:r>
      <w:r>
        <w:rPr>
          <w:rFonts w:hint="eastAsia" w:ascii="仿宋_GB2312" w:hAnsi="Times New Roman" w:eastAsia="仿宋_GB2312" w:cs="Times New Roman"/>
          <w:sz w:val="30"/>
          <w:szCs w:val="30"/>
          <w:highlight w:val="none"/>
          <w:lang w:val="zh-CN"/>
        </w:rPr>
        <w:t>0</w:t>
      </w:r>
      <w:r>
        <w:rPr>
          <w:rFonts w:hint="eastAsia" w:ascii="仿宋_GB2312" w:hAnsi="Times New Roman" w:eastAsia="仿宋_GB2312" w:cs="Times New Roman"/>
          <w:sz w:val="30"/>
          <w:szCs w:val="30"/>
          <w:highlight w:val="none"/>
        </w:rPr>
        <w:t>批次），接待人次</w:t>
      </w:r>
      <w:r>
        <w:rPr>
          <w:rFonts w:hint="eastAsia" w:ascii="仿宋_GB2312" w:hAnsi="Times New Roman" w:eastAsia="仿宋_GB2312" w:cs="Times New Roman"/>
          <w:sz w:val="30"/>
          <w:szCs w:val="30"/>
          <w:highlight w:val="none"/>
          <w:lang w:val="zh-CN"/>
        </w:rPr>
        <w:t>0</w:t>
      </w:r>
      <w:r>
        <w:rPr>
          <w:rFonts w:hint="eastAsia" w:ascii="仿宋_GB2312" w:hAnsi="Times New Roman" w:eastAsia="仿宋_GB2312" w:cs="Times New Roman"/>
          <w:sz w:val="30"/>
          <w:szCs w:val="30"/>
          <w:highlight w:val="none"/>
        </w:rPr>
        <w:t>人（其中：外事接待人次</w:t>
      </w:r>
      <w:r>
        <w:rPr>
          <w:rFonts w:hint="eastAsia" w:ascii="仿宋_GB2312" w:hAnsi="Times New Roman" w:eastAsia="仿宋_GB2312" w:cs="Times New Roman"/>
          <w:sz w:val="30"/>
          <w:szCs w:val="30"/>
          <w:highlight w:val="none"/>
          <w:lang w:val="zh-CN"/>
        </w:rPr>
        <w:t>0</w:t>
      </w:r>
      <w:r>
        <w:rPr>
          <w:rFonts w:hint="eastAsia" w:ascii="仿宋_GB2312" w:hAnsi="Times New Roman" w:eastAsia="仿宋_GB2312" w:cs="Times New Roman"/>
          <w:sz w:val="30"/>
          <w:szCs w:val="30"/>
          <w:highlight w:val="none"/>
        </w:rPr>
        <w:t>人）。</w:t>
      </w:r>
      <w:r>
        <w:rPr>
          <w:rFonts w:hint="eastAsia" w:ascii="仿宋_GB2312" w:hAnsi="Times New Roman" w:eastAsia="仿宋_GB2312" w:cs="Times New Roman"/>
          <w:sz w:val="30"/>
          <w:szCs w:val="30"/>
          <w:highlight w:val="none"/>
          <w:lang w:val="en-US" w:eastAsia="zh-CN"/>
        </w:rPr>
        <w:t>无</w:t>
      </w:r>
      <w:r>
        <w:rPr>
          <w:rFonts w:hint="eastAsia" w:ascii="仿宋_GB2312" w:hAnsi="Times New Roman" w:eastAsia="仿宋_GB2312" w:cs="Times New Roman"/>
          <w:sz w:val="30"/>
          <w:szCs w:val="30"/>
          <w:highlight w:val="none"/>
        </w:rPr>
        <w:t>接待支出。安排国（境）外公务接待</w:t>
      </w:r>
      <w:r>
        <w:rPr>
          <w:rFonts w:hint="eastAsia" w:ascii="仿宋_GB2312" w:hAnsi="Times New Roman" w:eastAsia="仿宋_GB2312" w:cs="Times New Roman"/>
          <w:sz w:val="30"/>
          <w:szCs w:val="30"/>
          <w:highlight w:val="none"/>
          <w:lang w:val="zh-CN"/>
        </w:rPr>
        <w:t>0</w:t>
      </w:r>
      <w:r>
        <w:rPr>
          <w:rFonts w:hint="eastAsia" w:ascii="仿宋_GB2312" w:hAnsi="Times New Roman" w:eastAsia="仿宋_GB2312" w:cs="Times New Roman"/>
          <w:sz w:val="30"/>
          <w:szCs w:val="30"/>
          <w:highlight w:val="none"/>
        </w:rPr>
        <w:t>批次，接待人次</w:t>
      </w:r>
      <w:r>
        <w:rPr>
          <w:rFonts w:hint="eastAsia" w:ascii="仿宋_GB2312" w:hAnsi="Times New Roman" w:eastAsia="仿宋_GB2312" w:cs="Times New Roman"/>
          <w:sz w:val="30"/>
          <w:szCs w:val="30"/>
          <w:highlight w:val="none"/>
          <w:lang w:val="zh-CN"/>
        </w:rPr>
        <w:t>0</w:t>
      </w:r>
      <w:r>
        <w:rPr>
          <w:rFonts w:hint="eastAsia" w:ascii="仿宋_GB2312" w:hAnsi="Times New Roman" w:eastAsia="仿宋_GB2312" w:cs="Times New Roman"/>
          <w:sz w:val="30"/>
          <w:szCs w:val="30"/>
          <w:highlight w:val="none"/>
        </w:rPr>
        <w:t>人。</w:t>
      </w:r>
      <w:r>
        <w:rPr>
          <w:rFonts w:hint="eastAsia" w:ascii="仿宋_GB2312" w:hAnsi="Times New Roman" w:eastAsia="仿宋_GB2312" w:cs="Times New Roman"/>
          <w:sz w:val="30"/>
          <w:szCs w:val="30"/>
          <w:highlight w:val="none"/>
          <w:lang w:val="en-US" w:eastAsia="zh-CN"/>
        </w:rPr>
        <w:t>无</w:t>
      </w:r>
      <w:r>
        <w:rPr>
          <w:rFonts w:hint="eastAsia" w:ascii="仿宋_GB2312" w:hAnsi="Times New Roman" w:eastAsia="仿宋_GB2312" w:cs="Times New Roman"/>
          <w:sz w:val="30"/>
          <w:szCs w:val="30"/>
          <w:highlight w:val="none"/>
        </w:rPr>
        <w:t>接待支出。</w:t>
      </w:r>
    </w:p>
    <w:p w14:paraId="1503550A">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outlineLvl w:val="2"/>
        <w:rPr>
          <w:rFonts w:hint="eastAsia" w:ascii="楷体" w:hAnsi="楷体" w:eastAsia="楷体" w:cs="Times New Roman"/>
          <w:sz w:val="30"/>
          <w:szCs w:val="30"/>
          <w:highlight w:val="none"/>
          <w:lang w:eastAsia="zh-CN"/>
        </w:rPr>
      </w:pPr>
      <w:r>
        <w:rPr>
          <w:rFonts w:hint="eastAsia" w:ascii="楷体" w:hAnsi="楷体" w:eastAsia="楷体" w:cs="Times New Roman"/>
          <w:sz w:val="30"/>
          <w:szCs w:val="30"/>
          <w:highlight w:val="none"/>
          <w:lang w:eastAsia="zh-CN"/>
        </w:rPr>
        <w:t>（</w:t>
      </w:r>
      <w:r>
        <w:rPr>
          <w:rFonts w:hint="eastAsia" w:ascii="楷体" w:hAnsi="楷体" w:eastAsia="楷体" w:cs="Times New Roman"/>
          <w:sz w:val="30"/>
          <w:szCs w:val="30"/>
          <w:highlight w:val="none"/>
          <w:lang w:val="en-US" w:eastAsia="zh-CN"/>
        </w:rPr>
        <w:t>四</w:t>
      </w:r>
      <w:r>
        <w:rPr>
          <w:rFonts w:hint="eastAsia" w:ascii="楷体" w:hAnsi="楷体" w:eastAsia="楷体" w:cs="Times New Roman"/>
          <w:sz w:val="30"/>
          <w:szCs w:val="30"/>
          <w:highlight w:val="none"/>
          <w:lang w:eastAsia="zh-CN"/>
        </w:rPr>
        <w:t>）需要说明的事项</w:t>
      </w:r>
    </w:p>
    <w:p w14:paraId="36DDB712">
      <w:pPr>
        <w:keepNext w:val="0"/>
        <w:keepLines w:val="0"/>
        <w:pageBreakBefore w:val="0"/>
        <w:widowControl w:val="0"/>
        <w:numPr>
          <w:ilvl w:val="0"/>
          <w:numId w:val="0"/>
        </w:numPr>
        <w:kinsoku/>
        <w:wordWrap/>
        <w:overflowPunct/>
        <w:topLinePunct w:val="0"/>
        <w:autoSpaceDE/>
        <w:autoSpaceDN/>
        <w:bidi w:val="0"/>
        <w:adjustRightInd/>
        <w:snapToGrid w:val="0"/>
        <w:spacing w:before="100" w:after="100" w:line="360" w:lineRule="auto"/>
        <w:ind w:firstLine="600" w:firstLineChars="200"/>
        <w:jc w:val="both"/>
        <w:textAlignment w:val="auto"/>
        <w:rPr>
          <w:rFonts w:hint="eastAsia" w:ascii="仿宋_GB2312" w:eastAsia="仿宋_GB2312"/>
          <w:sz w:val="30"/>
          <w:szCs w:val="30"/>
          <w:highlight w:val="none"/>
          <w:lang w:eastAsia="zh-CN"/>
        </w:rPr>
      </w:pPr>
      <w:r>
        <w:rPr>
          <w:rFonts w:hint="eastAsia" w:ascii="仿宋_GB2312" w:eastAsia="仿宋_GB2312"/>
          <w:sz w:val="30"/>
          <w:szCs w:val="30"/>
          <w:highlight w:val="none"/>
          <w:lang w:eastAsia="zh-CN"/>
        </w:rPr>
        <w:t>不存在需要说明的事项。</w:t>
      </w:r>
    </w:p>
    <w:p w14:paraId="67BAED8F">
      <w:pPr>
        <w:keepNext w:val="0"/>
        <w:keepLines w:val="0"/>
        <w:pageBreakBefore w:val="0"/>
        <w:widowControl w:val="0"/>
        <w:kinsoku/>
        <w:wordWrap/>
        <w:overflowPunct/>
        <w:topLinePunct w:val="0"/>
        <w:autoSpaceDE/>
        <w:autoSpaceDN/>
        <w:bidi w:val="0"/>
        <w:adjustRightInd/>
        <w:snapToGrid w:val="0"/>
        <w:spacing w:before="100" w:after="100" w:line="360" w:lineRule="auto"/>
        <w:ind w:firstLine="640" w:firstLineChars="200"/>
        <w:jc w:val="center"/>
        <w:textAlignment w:val="auto"/>
        <w:outlineLvl w:val="0"/>
        <w:rPr>
          <w:rFonts w:hint="eastAsia" w:ascii="仿宋_GB2312" w:eastAsia="仿宋_GB2312"/>
          <w:sz w:val="32"/>
          <w:szCs w:val="32"/>
          <w:highlight w:val="none"/>
        </w:rPr>
      </w:pPr>
      <w:r>
        <w:rPr>
          <w:rFonts w:hint="eastAsia" w:ascii="黑体" w:hAnsi="黑体" w:eastAsia="黑体" w:cs="方正小标宋简体"/>
          <w:sz w:val="32"/>
          <w:szCs w:val="32"/>
          <w:highlight w:val="none"/>
        </w:rPr>
        <w:t xml:space="preserve">第四部分  </w:t>
      </w:r>
      <w:r>
        <w:rPr>
          <w:rFonts w:hint="eastAsia" w:ascii="黑体" w:hAnsi="黑体" w:eastAsia="黑体"/>
          <w:sz w:val="32"/>
          <w:szCs w:val="32"/>
          <w:highlight w:val="none"/>
        </w:rPr>
        <w:t>其他重要事项及相关口径情况说明</w:t>
      </w:r>
    </w:p>
    <w:p w14:paraId="0D31A315">
      <w:pPr>
        <w:keepNext w:val="0"/>
        <w:keepLines w:val="0"/>
        <w:pageBreakBefore w:val="0"/>
        <w:widowControl w:val="0"/>
        <w:kinsoku/>
        <w:wordWrap/>
        <w:overflowPunct/>
        <w:topLinePunct w:val="0"/>
        <w:autoSpaceDE/>
        <w:autoSpaceDN/>
        <w:bidi w:val="0"/>
        <w:adjustRightInd/>
        <w:ind w:firstLine="600" w:firstLineChars="200"/>
        <w:jc w:val="both"/>
        <w:textAlignment w:val="auto"/>
        <w:outlineLvl w:val="1"/>
        <w:rPr>
          <w:rFonts w:hint="eastAsia" w:ascii="黑体" w:hAnsi="黑体" w:eastAsia="黑体" w:cs="黑体"/>
          <w:sz w:val="30"/>
          <w:szCs w:val="30"/>
          <w:highlight w:val="none"/>
        </w:rPr>
      </w:pPr>
      <w:r>
        <w:rPr>
          <w:rFonts w:hint="eastAsia" w:ascii="黑体" w:hAnsi="黑体" w:eastAsia="黑体" w:cs="黑体"/>
          <w:sz w:val="30"/>
          <w:szCs w:val="30"/>
          <w:highlight w:val="none"/>
        </w:rPr>
        <w:t>一</w:t>
      </w:r>
      <w:r>
        <w:rPr>
          <w:rFonts w:hint="eastAsia" w:ascii="黑体" w:hAnsi="黑体" w:eastAsia="黑体" w:cs="黑体"/>
          <w:sz w:val="30"/>
          <w:szCs w:val="30"/>
          <w:highlight w:val="none"/>
          <w:lang w:eastAsia="zh-CN"/>
        </w:rPr>
        <w:t>、</w:t>
      </w:r>
      <w:r>
        <w:rPr>
          <w:rFonts w:hint="eastAsia" w:ascii="黑体" w:hAnsi="黑体" w:eastAsia="黑体" w:cs="黑体"/>
          <w:sz w:val="30"/>
          <w:szCs w:val="30"/>
          <w:highlight w:val="none"/>
        </w:rPr>
        <w:t>机关运行经费支出情况</w:t>
      </w:r>
    </w:p>
    <w:p w14:paraId="3EF49CE1">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zh-CN"/>
        </w:rPr>
      </w:pPr>
      <w:r>
        <w:rPr>
          <w:rFonts w:hint="eastAsia" w:ascii="仿宋_GB2312" w:hAnsi="Times New Roman" w:eastAsia="仿宋_GB2312" w:cs="Times New Roman"/>
          <w:sz w:val="30"/>
          <w:szCs w:val="30"/>
          <w:highlight w:val="none"/>
          <w:lang w:val="zh-CN"/>
        </w:rPr>
        <w:t>云南师范大学附属世纪金源学校</w:t>
      </w:r>
      <w:r>
        <w:rPr>
          <w:rFonts w:hint="eastAsia" w:ascii="仿宋_GB2312" w:hAnsi="Times New Roman" w:eastAsia="仿宋_GB2312" w:cs="Times New Roman"/>
          <w:sz w:val="30"/>
          <w:szCs w:val="30"/>
          <w:highlight w:val="none"/>
          <w:lang w:val="en-US" w:eastAsia="zh-CN"/>
        </w:rPr>
        <w:t>2024</w:t>
      </w:r>
      <w:r>
        <w:rPr>
          <w:rFonts w:hint="eastAsia" w:ascii="仿宋_GB2312" w:hAnsi="Times New Roman" w:eastAsia="仿宋_GB2312" w:cs="Times New Roman"/>
          <w:sz w:val="30"/>
          <w:szCs w:val="30"/>
          <w:highlight w:val="none"/>
          <w:lang w:val="zh-CN"/>
        </w:rPr>
        <w:t>年机关运行经费支出</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w:t>
      </w:r>
      <w:r>
        <w:rPr>
          <w:rFonts w:hint="eastAsia" w:ascii="仿宋_GB2312" w:hAnsi="Times New Roman" w:eastAsia="仿宋_GB2312" w:cs="Times New Roman"/>
          <w:sz w:val="30"/>
          <w:szCs w:val="30"/>
          <w:highlight w:val="none"/>
          <w:lang w:val="zh-CN" w:eastAsia="zh-CN"/>
        </w:rPr>
        <w:t>比上年</w:t>
      </w:r>
      <w:r>
        <w:rPr>
          <w:rFonts w:hint="eastAsia" w:ascii="仿宋_GB2312" w:hAnsi="Times New Roman" w:eastAsia="仿宋_GB2312" w:cs="Times New Roman"/>
          <w:sz w:val="30"/>
          <w:szCs w:val="30"/>
          <w:highlight w:val="none"/>
          <w:lang w:val="zh-CN"/>
        </w:rPr>
        <w:t>增加</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，增长0.00%,主要原因</w:t>
      </w:r>
      <w:r>
        <w:rPr>
          <w:rFonts w:hint="eastAsia" w:ascii="仿宋_GB2312" w:hAnsi="Times New Roman" w:eastAsia="仿宋_GB2312" w:cs="Times New Roman"/>
          <w:sz w:val="30"/>
          <w:szCs w:val="30"/>
          <w:highlight w:val="none"/>
          <w:lang w:val="zh-CN" w:eastAsia="zh-CN"/>
        </w:rPr>
        <w:t>是：</w:t>
      </w:r>
      <w:r>
        <w:rPr>
          <w:rFonts w:hint="eastAsia" w:ascii="仿宋_GB2312" w:hAnsi="Times New Roman" w:eastAsia="仿宋_GB2312" w:cs="Times New Roman"/>
          <w:sz w:val="30"/>
          <w:szCs w:val="30"/>
          <w:highlight w:val="none"/>
          <w:lang w:val="en-US" w:eastAsia="zh-CN"/>
        </w:rPr>
        <w:t>本单位为事业单位，无机关运行经费</w:t>
      </w:r>
      <w:r>
        <w:rPr>
          <w:rFonts w:hint="eastAsia" w:ascii="仿宋_GB2312" w:hAnsi="Times New Roman" w:eastAsia="仿宋_GB2312" w:cs="Times New Roman"/>
          <w:sz w:val="30"/>
          <w:szCs w:val="30"/>
          <w:highlight w:val="none"/>
          <w:lang w:val="zh-CN"/>
        </w:rPr>
        <w:t>。</w:t>
      </w:r>
    </w:p>
    <w:p w14:paraId="0A8C0D5D">
      <w:pPr>
        <w:keepNext w:val="0"/>
        <w:keepLines w:val="0"/>
        <w:pageBreakBefore w:val="0"/>
        <w:widowControl w:val="0"/>
        <w:kinsoku/>
        <w:wordWrap/>
        <w:overflowPunct/>
        <w:topLinePunct w:val="0"/>
        <w:autoSpaceDE/>
        <w:autoSpaceDN/>
        <w:bidi w:val="0"/>
        <w:adjustRightInd/>
        <w:ind w:firstLine="600" w:firstLineChars="200"/>
        <w:jc w:val="both"/>
        <w:textAlignment w:val="auto"/>
        <w:outlineLvl w:val="1"/>
        <w:rPr>
          <w:rFonts w:hint="eastAsia" w:ascii="黑体" w:hAnsi="黑体" w:eastAsia="黑体" w:cs="黑体"/>
          <w:color w:val="000000"/>
          <w:kern w:val="0"/>
          <w:sz w:val="30"/>
          <w:szCs w:val="30"/>
          <w:highlight w:val="none"/>
        </w:rPr>
      </w:pPr>
      <w:r>
        <w:rPr>
          <w:rFonts w:hint="eastAsia" w:ascii="黑体" w:hAnsi="黑体" w:eastAsia="黑体" w:cs="黑体"/>
          <w:color w:val="000000"/>
          <w:kern w:val="0"/>
          <w:sz w:val="30"/>
          <w:szCs w:val="30"/>
          <w:highlight w:val="none"/>
          <w:lang w:eastAsia="zh-CN"/>
        </w:rPr>
        <w:t>二、</w:t>
      </w:r>
      <w:r>
        <w:rPr>
          <w:rFonts w:hint="eastAsia" w:ascii="黑体" w:hAnsi="黑体" w:eastAsia="黑体" w:cs="黑体"/>
          <w:color w:val="000000"/>
          <w:kern w:val="0"/>
          <w:sz w:val="30"/>
          <w:szCs w:val="30"/>
          <w:highlight w:val="none"/>
        </w:rPr>
        <w:t>国有资产占用情况</w:t>
      </w:r>
    </w:p>
    <w:p w14:paraId="6F8B8848">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zh-CN"/>
        </w:rPr>
      </w:pPr>
      <w:r>
        <w:rPr>
          <w:rFonts w:hint="eastAsia" w:ascii="仿宋_GB2312" w:hAnsi="Times New Roman" w:eastAsia="仿宋_GB2312" w:cs="Times New Roman"/>
          <w:sz w:val="30"/>
          <w:szCs w:val="30"/>
          <w:highlight w:val="none"/>
          <w:lang w:val="zh-CN" w:eastAsia="zh-CN"/>
        </w:rPr>
        <w:t>截至2024年末，</w:t>
      </w:r>
      <w:r>
        <w:rPr>
          <w:rFonts w:hint="eastAsia" w:ascii="仿宋_GB2312" w:hAnsi="Times New Roman" w:eastAsia="仿宋_GB2312" w:cs="Times New Roman"/>
          <w:sz w:val="30"/>
          <w:szCs w:val="30"/>
          <w:highlight w:val="none"/>
          <w:lang w:val="zh-CN"/>
        </w:rPr>
        <w:t>云南师范大学附属世纪金源学校</w:t>
      </w:r>
      <w:r>
        <w:rPr>
          <w:rFonts w:hint="eastAsia" w:ascii="仿宋_GB2312" w:hAnsi="Times New Roman" w:eastAsia="仿宋_GB2312" w:cs="Times New Roman"/>
          <w:sz w:val="30"/>
          <w:szCs w:val="30"/>
          <w:highlight w:val="none"/>
          <w:lang w:val="zh-CN" w:eastAsia="zh-CN"/>
        </w:rPr>
        <w:t>资产总额</w:t>
      </w:r>
      <w:r>
        <w:rPr>
          <w:rFonts w:hint="eastAsia" w:ascii="仿宋_GB2312" w:hAnsi="Times New Roman" w:eastAsia="仿宋_GB2312" w:cs="Times New Roman"/>
          <w:sz w:val="30"/>
          <w:szCs w:val="30"/>
          <w:highlight w:val="none"/>
          <w:lang w:val="en-US" w:eastAsia="zh-CN"/>
        </w:rPr>
        <w:t>22989140.53</w:t>
      </w:r>
      <w:r>
        <w:rPr>
          <w:rFonts w:hint="eastAsia" w:ascii="仿宋_GB2312" w:hAnsi="Times New Roman" w:eastAsia="仿宋_GB2312" w:cs="Times New Roman"/>
          <w:sz w:val="30"/>
          <w:szCs w:val="30"/>
          <w:highlight w:val="none"/>
          <w:lang w:val="zh-CN" w:eastAsia="zh-CN"/>
        </w:rPr>
        <w:t>元，其中，流动资产</w:t>
      </w:r>
      <w:r>
        <w:rPr>
          <w:rFonts w:hint="eastAsia" w:ascii="仿宋_GB2312" w:hAnsi="Times New Roman" w:eastAsia="仿宋_GB2312" w:cs="Times New Roman"/>
          <w:sz w:val="30"/>
          <w:szCs w:val="30"/>
          <w:highlight w:val="none"/>
          <w:lang w:val="en-US" w:eastAsia="zh-CN"/>
        </w:rPr>
        <w:t>11787889.72</w:t>
      </w:r>
      <w:r>
        <w:rPr>
          <w:rFonts w:hint="eastAsia" w:ascii="仿宋_GB2312" w:hAnsi="Times New Roman" w:eastAsia="仿宋_GB2312" w:cs="Times New Roman"/>
          <w:sz w:val="30"/>
          <w:szCs w:val="30"/>
          <w:highlight w:val="none"/>
          <w:lang w:val="zh-CN" w:eastAsia="zh-CN"/>
        </w:rPr>
        <w:t>元，固定资产</w:t>
      </w:r>
      <w:r>
        <w:rPr>
          <w:rFonts w:hint="eastAsia" w:ascii="仿宋_GB2312" w:hAnsi="Times New Roman" w:eastAsia="仿宋_GB2312" w:cs="Times New Roman"/>
          <w:sz w:val="30"/>
          <w:szCs w:val="30"/>
          <w:highlight w:val="none"/>
          <w:lang w:val="en-US" w:eastAsia="zh-CN"/>
        </w:rPr>
        <w:t>11151582.65</w:t>
      </w:r>
      <w:r>
        <w:rPr>
          <w:rFonts w:hint="eastAsia" w:ascii="仿宋_GB2312" w:hAnsi="Times New Roman" w:eastAsia="仿宋_GB2312" w:cs="Times New Roman"/>
          <w:sz w:val="30"/>
          <w:szCs w:val="30"/>
          <w:highlight w:val="none"/>
          <w:lang w:val="zh-CN" w:eastAsia="zh-CN"/>
        </w:rPr>
        <w:t>元（净值），对外投资及有价证券</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eastAsia="zh-CN"/>
        </w:rPr>
        <w:t>元，在建工程</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eastAsia="zh-CN"/>
        </w:rPr>
        <w:t>元，无形资产</w:t>
      </w:r>
      <w:r>
        <w:rPr>
          <w:rFonts w:hint="eastAsia" w:ascii="仿宋_GB2312" w:hAnsi="Times New Roman" w:eastAsia="仿宋_GB2312" w:cs="Times New Roman"/>
          <w:sz w:val="30"/>
          <w:szCs w:val="30"/>
          <w:highlight w:val="none"/>
          <w:lang w:val="en-US" w:eastAsia="zh-CN"/>
        </w:rPr>
        <w:t>49668.16</w:t>
      </w:r>
      <w:r>
        <w:rPr>
          <w:rFonts w:hint="eastAsia" w:ascii="仿宋_GB2312" w:hAnsi="Times New Roman" w:eastAsia="仿宋_GB2312" w:cs="Times New Roman"/>
          <w:sz w:val="30"/>
          <w:szCs w:val="30"/>
          <w:highlight w:val="none"/>
          <w:lang w:val="zh-CN" w:eastAsia="zh-CN"/>
        </w:rPr>
        <w:t>元（净值），其他资产</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eastAsia="zh-CN"/>
        </w:rPr>
        <w:t>元（净值）（具体内容详见附表）</w:t>
      </w:r>
      <w:r>
        <w:rPr>
          <w:rFonts w:hint="eastAsia" w:ascii="仿宋_GB2312" w:hAnsi="Times New Roman" w:eastAsia="仿宋_GB2312" w:cs="Times New Roman"/>
          <w:sz w:val="30"/>
          <w:szCs w:val="30"/>
          <w:highlight w:val="none"/>
          <w:lang w:val="zh-CN"/>
        </w:rPr>
        <w:t>。与上年相比，本年资产总额增加</w:t>
      </w:r>
      <w:r>
        <w:rPr>
          <w:rFonts w:hint="eastAsia" w:ascii="仿宋_GB2312" w:hAnsi="Times New Roman" w:eastAsia="仿宋_GB2312" w:cs="Times New Roman"/>
          <w:sz w:val="30"/>
          <w:szCs w:val="30"/>
          <w:highlight w:val="none"/>
          <w:lang w:val="en-US" w:eastAsia="zh-CN"/>
        </w:rPr>
        <w:t>1098852.78</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，其中固定资产减少</w:t>
      </w:r>
      <w:r>
        <w:rPr>
          <w:rFonts w:hint="eastAsia" w:ascii="仿宋_GB2312" w:hAnsi="Times New Roman" w:eastAsia="仿宋_GB2312" w:cs="Times New Roman"/>
          <w:sz w:val="30"/>
          <w:szCs w:val="30"/>
          <w:highlight w:val="none"/>
          <w:lang w:val="en-US" w:eastAsia="zh-CN"/>
        </w:rPr>
        <w:t>1635234.65</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。处置房屋建筑物</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rPr>
        <w:t>平方米，账面原值</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；处置车辆</w:t>
      </w:r>
      <w:r>
        <w:rPr>
          <w:rFonts w:hint="eastAsia" w:ascii="仿宋_GB2312" w:hAnsi="Times New Roman" w:eastAsia="仿宋_GB2312" w:cs="Times New Roman"/>
          <w:sz w:val="30"/>
          <w:szCs w:val="30"/>
          <w:highlight w:val="none"/>
          <w:lang w:val="en-US" w:eastAsia="zh-CN"/>
        </w:rPr>
        <w:t>0</w:t>
      </w:r>
      <w:r>
        <w:rPr>
          <w:rFonts w:hint="eastAsia" w:ascii="仿宋_GB2312" w:hAnsi="Times New Roman" w:eastAsia="仿宋_GB2312" w:cs="Times New Roman"/>
          <w:sz w:val="30"/>
          <w:szCs w:val="30"/>
          <w:highlight w:val="none"/>
          <w:lang w:val="zh-CN"/>
        </w:rPr>
        <w:t>辆，账面原值</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；报废报损资产</w:t>
      </w:r>
      <w:r>
        <w:rPr>
          <w:rFonts w:hint="eastAsia" w:ascii="仿宋_GB2312" w:hAnsi="Times New Roman" w:eastAsia="仿宋_GB2312" w:cs="Times New Roman"/>
          <w:sz w:val="30"/>
          <w:szCs w:val="30"/>
          <w:highlight w:val="none"/>
          <w:lang w:val="en-US" w:eastAsia="zh-CN"/>
        </w:rPr>
        <w:t>4172</w:t>
      </w:r>
      <w:r>
        <w:rPr>
          <w:rFonts w:hint="eastAsia" w:ascii="仿宋_GB2312" w:hAnsi="Times New Roman" w:eastAsia="仿宋_GB2312" w:cs="Times New Roman"/>
          <w:sz w:val="30"/>
          <w:szCs w:val="30"/>
          <w:highlight w:val="none"/>
          <w:lang w:val="zh-CN"/>
        </w:rPr>
        <w:t>项，账面原值</w:t>
      </w:r>
      <w:r>
        <w:rPr>
          <w:rFonts w:hint="eastAsia" w:ascii="仿宋_GB2312" w:hAnsi="Times New Roman" w:eastAsia="仿宋_GB2312" w:cs="Times New Roman"/>
          <w:sz w:val="30"/>
          <w:szCs w:val="30"/>
          <w:highlight w:val="none"/>
          <w:lang w:val="en-US" w:eastAsia="zh-CN"/>
        </w:rPr>
        <w:t>4097072.00</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，实现资产处置收入</w:t>
      </w:r>
      <w:r>
        <w:rPr>
          <w:rFonts w:hint="eastAsia" w:ascii="仿宋_GB2312" w:hAnsi="Times New Roman" w:eastAsia="仿宋_GB2312" w:cs="Times New Roman"/>
          <w:sz w:val="30"/>
          <w:szCs w:val="30"/>
          <w:highlight w:val="none"/>
          <w:lang w:val="en-US" w:eastAsia="zh-CN"/>
        </w:rPr>
        <w:t>156000.00</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；出租房屋</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rPr>
        <w:t>平方米，账面原值</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，实现资产使用收入</w:t>
      </w:r>
      <w:r>
        <w:rPr>
          <w:rFonts w:hint="eastAsia" w:ascii="仿宋_GB2312" w:hAnsi="Times New Roman" w:eastAsia="仿宋_GB2312" w:cs="Times New Roman"/>
          <w:sz w:val="30"/>
          <w:szCs w:val="30"/>
          <w:highlight w:val="none"/>
          <w:lang w:val="en-US" w:eastAsia="zh-CN"/>
        </w:rPr>
        <w:t>0.00</w:t>
      </w:r>
      <w:r>
        <w:rPr>
          <w:rFonts w:hint="eastAsia" w:ascii="仿宋_GB2312" w:hAnsi="Times New Roman" w:eastAsia="仿宋_GB2312" w:cs="Times New Roman"/>
          <w:sz w:val="30"/>
          <w:szCs w:val="30"/>
          <w:highlight w:val="none"/>
          <w:lang w:val="zh-CN" w:eastAsia="zh-CN"/>
        </w:rPr>
        <w:t>元</w:t>
      </w:r>
      <w:r>
        <w:rPr>
          <w:rFonts w:hint="eastAsia" w:ascii="仿宋_GB2312" w:hAnsi="Times New Roman" w:eastAsia="仿宋_GB2312" w:cs="Times New Roman"/>
          <w:sz w:val="30"/>
          <w:szCs w:val="30"/>
          <w:highlight w:val="none"/>
          <w:lang w:val="zh-CN"/>
        </w:rPr>
        <w:t>。</w:t>
      </w:r>
    </w:p>
    <w:p w14:paraId="20E893E5">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zh-CN" w:eastAsia="zh-CN"/>
        </w:rPr>
      </w:pPr>
      <w:r>
        <w:rPr>
          <w:rFonts w:hint="eastAsia" w:ascii="仿宋_GB2312" w:hAnsi="Times New Roman" w:eastAsia="仿宋_GB2312" w:cs="Times New Roman"/>
          <w:sz w:val="30"/>
          <w:szCs w:val="30"/>
          <w:highlight w:val="none"/>
          <w:lang w:val="zh-CN" w:eastAsia="zh-CN"/>
        </w:rPr>
        <w:t>（</w:t>
      </w:r>
      <w:r>
        <w:rPr>
          <w:rFonts w:hint="eastAsia" w:ascii="仿宋_GB2312" w:hAnsi="Times New Roman" w:eastAsia="仿宋_GB2312" w:cs="Times New Roman"/>
          <w:sz w:val="30"/>
          <w:szCs w:val="30"/>
          <w:highlight w:val="none"/>
          <w:lang w:val="zh-CN"/>
        </w:rPr>
        <w:t>国有资产占有使用情况表</w:t>
      </w:r>
      <w:r>
        <w:rPr>
          <w:rFonts w:hint="eastAsia" w:ascii="仿宋_GB2312" w:hAnsi="Times New Roman" w:eastAsia="仿宋_GB2312" w:cs="Times New Roman"/>
          <w:sz w:val="30"/>
          <w:szCs w:val="30"/>
          <w:highlight w:val="none"/>
          <w:lang w:val="zh-CN" w:eastAsia="zh-CN"/>
        </w:rPr>
        <w:t>详见附表）</w:t>
      </w:r>
    </w:p>
    <w:tbl>
      <w:tblPr>
        <w:tblStyle w:val="5"/>
        <w:tblpPr w:leftFromText="180" w:rightFromText="180" w:topFromText="100" w:bottomFromText="100" w:vertAnchor="text" w:horzAnchor="page" w:tblpX="534" w:tblpY="490"/>
        <w:tblOverlap w:val="never"/>
        <w:tblW w:w="142" w:type="dxa"/>
        <w:tblInd w:w="-15" w:type="dxa"/>
        <w:tblLayout w:type="fixed"/>
        <w:tblCellMar>
          <w:top w:w="0" w:type="dxa"/>
          <w:left w:w="0" w:type="dxa"/>
          <w:bottom w:w="0" w:type="dxa"/>
          <w:right w:w="0" w:type="dxa"/>
        </w:tblCellMar>
      </w:tblPr>
      <w:tblGrid>
        <w:gridCol w:w="142"/>
      </w:tblGrid>
      <w:tr w14:paraId="70C0F382">
        <w:tblPrEx>
          <w:tblCellMar>
            <w:top w:w="0" w:type="dxa"/>
            <w:left w:w="0" w:type="dxa"/>
            <w:bottom w:w="0" w:type="dxa"/>
            <w:right w:w="0" w:type="dxa"/>
          </w:tblCellMar>
        </w:tblPrEx>
        <w:trPr>
          <w:trHeight w:val="495" w:hRule="atLeast"/>
        </w:trPr>
        <w:tc>
          <w:tcPr>
            <w:tcW w:w="142" w:type="dxa"/>
            <w:tcBorders>
              <w:top w:val="nil"/>
              <w:left w:val="nil"/>
              <w:bottom w:val="nil"/>
              <w:right w:val="nil"/>
            </w:tcBorders>
            <w:noWrap w:val="0"/>
            <w:vAlign w:val="center"/>
          </w:tcPr>
          <w:p w14:paraId="7C531EA2">
            <w:pPr>
              <w:keepNext w:val="0"/>
              <w:keepLines w:val="0"/>
              <w:pageBreakBefore w:val="0"/>
              <w:widowControl w:val="0"/>
              <w:kinsoku/>
              <w:wordWrap/>
              <w:overflowPunct/>
              <w:topLinePunct w:val="0"/>
              <w:autoSpaceDE/>
              <w:autoSpaceDN/>
              <w:bidi w:val="0"/>
              <w:adjustRightInd/>
              <w:snapToGrid/>
              <w:jc w:val="both"/>
              <w:textAlignment w:val="auto"/>
              <w:rPr>
                <w:rFonts w:ascii="宋体" w:hAnsi="宋体" w:cs="宋体"/>
                <w:color w:val="000000"/>
                <w:kern w:val="0"/>
                <w:sz w:val="17"/>
                <w:szCs w:val="17"/>
                <w:highlight w:val="none"/>
              </w:rPr>
            </w:pPr>
          </w:p>
        </w:tc>
      </w:tr>
      <w:tr w14:paraId="00F31739">
        <w:tblPrEx>
          <w:tblCellMar>
            <w:top w:w="0" w:type="dxa"/>
            <w:left w:w="0" w:type="dxa"/>
            <w:bottom w:w="0" w:type="dxa"/>
            <w:right w:w="0" w:type="dxa"/>
          </w:tblCellMar>
        </w:tblPrEx>
        <w:trPr>
          <w:trHeight w:val="347" w:hRule="atLeast"/>
        </w:trPr>
        <w:tc>
          <w:tcPr>
            <w:tcW w:w="142" w:type="dxa"/>
            <w:tcBorders>
              <w:top w:val="nil"/>
              <w:left w:val="nil"/>
              <w:bottom w:val="nil"/>
              <w:right w:val="nil"/>
            </w:tcBorders>
            <w:noWrap w:val="0"/>
            <w:vAlign w:val="center"/>
          </w:tcPr>
          <w:p w14:paraId="4072BBD2">
            <w:pPr>
              <w:keepNext w:val="0"/>
              <w:keepLines w:val="0"/>
              <w:pageBreakBefore w:val="0"/>
              <w:widowControl w:val="0"/>
              <w:kinsoku/>
              <w:wordWrap/>
              <w:overflowPunct/>
              <w:topLinePunct w:val="0"/>
              <w:autoSpaceDE/>
              <w:autoSpaceDN/>
              <w:bidi w:val="0"/>
              <w:adjustRightInd/>
              <w:snapToGrid/>
              <w:jc w:val="both"/>
              <w:textAlignment w:val="auto"/>
              <w:rPr>
                <w:rFonts w:ascii="宋体" w:hAnsi="宋体" w:cs="宋体"/>
                <w:color w:val="000000"/>
                <w:kern w:val="0"/>
                <w:sz w:val="17"/>
                <w:szCs w:val="17"/>
                <w:highlight w:val="none"/>
              </w:rPr>
            </w:pPr>
          </w:p>
        </w:tc>
      </w:tr>
      <w:tr w14:paraId="7952435E">
        <w:tblPrEx>
          <w:tblCellMar>
            <w:top w:w="0" w:type="dxa"/>
            <w:left w:w="0" w:type="dxa"/>
            <w:bottom w:w="0" w:type="dxa"/>
            <w:right w:w="0" w:type="dxa"/>
          </w:tblCellMar>
        </w:tblPrEx>
        <w:trPr>
          <w:trHeight w:val="415" w:hRule="atLeast"/>
        </w:trPr>
        <w:tc>
          <w:tcPr>
            <w:tcW w:w="142" w:type="dxa"/>
            <w:tcBorders>
              <w:top w:val="nil"/>
              <w:left w:val="nil"/>
              <w:bottom w:val="nil"/>
              <w:right w:val="nil"/>
            </w:tcBorders>
            <w:noWrap w:val="0"/>
            <w:vAlign w:val="center"/>
          </w:tcPr>
          <w:p w14:paraId="6B041DE4">
            <w:pPr>
              <w:keepNext w:val="0"/>
              <w:keepLines w:val="0"/>
              <w:pageBreakBefore w:val="0"/>
              <w:widowControl w:val="0"/>
              <w:kinsoku/>
              <w:wordWrap/>
              <w:overflowPunct/>
              <w:topLinePunct w:val="0"/>
              <w:autoSpaceDE/>
              <w:autoSpaceDN/>
              <w:bidi w:val="0"/>
              <w:adjustRightInd/>
              <w:snapToGrid/>
              <w:jc w:val="both"/>
              <w:textAlignment w:val="auto"/>
              <w:rPr>
                <w:rFonts w:ascii="宋体" w:hAnsi="宋体" w:cs="宋体"/>
                <w:color w:val="000000"/>
                <w:kern w:val="0"/>
                <w:sz w:val="17"/>
                <w:szCs w:val="17"/>
                <w:highlight w:val="none"/>
              </w:rPr>
            </w:pPr>
          </w:p>
        </w:tc>
      </w:tr>
      <w:tr w14:paraId="66E9B73B">
        <w:tblPrEx>
          <w:tblCellMar>
            <w:top w:w="0" w:type="dxa"/>
            <w:left w:w="0" w:type="dxa"/>
            <w:bottom w:w="0" w:type="dxa"/>
            <w:right w:w="0" w:type="dxa"/>
          </w:tblCellMar>
        </w:tblPrEx>
        <w:trPr>
          <w:trHeight w:val="345" w:hRule="atLeast"/>
        </w:trPr>
        <w:tc>
          <w:tcPr>
            <w:tcW w:w="142" w:type="dxa"/>
            <w:tcBorders>
              <w:top w:val="nil"/>
              <w:left w:val="nil"/>
              <w:bottom w:val="nil"/>
              <w:right w:val="nil"/>
            </w:tcBorders>
            <w:noWrap w:val="0"/>
            <w:vAlign w:val="center"/>
          </w:tcPr>
          <w:p w14:paraId="381E162A">
            <w:pPr>
              <w:keepNext w:val="0"/>
              <w:keepLines w:val="0"/>
              <w:pageBreakBefore w:val="0"/>
              <w:widowControl w:val="0"/>
              <w:kinsoku/>
              <w:wordWrap/>
              <w:overflowPunct/>
              <w:topLinePunct w:val="0"/>
              <w:autoSpaceDE/>
              <w:autoSpaceDN/>
              <w:bidi w:val="0"/>
              <w:adjustRightInd/>
              <w:snapToGrid/>
              <w:jc w:val="both"/>
              <w:textAlignment w:val="auto"/>
              <w:rPr>
                <w:rFonts w:ascii="宋体" w:hAnsi="宋体" w:cs="宋体"/>
                <w:color w:val="000000"/>
                <w:kern w:val="0"/>
                <w:sz w:val="17"/>
                <w:szCs w:val="17"/>
                <w:highlight w:val="none"/>
              </w:rPr>
            </w:pPr>
          </w:p>
        </w:tc>
      </w:tr>
      <w:tr w14:paraId="0BEC1CA8">
        <w:tblPrEx>
          <w:tblCellMar>
            <w:top w:w="0" w:type="dxa"/>
            <w:left w:w="0" w:type="dxa"/>
            <w:bottom w:w="0" w:type="dxa"/>
            <w:right w:w="0" w:type="dxa"/>
          </w:tblCellMar>
        </w:tblPrEx>
        <w:trPr>
          <w:trHeight w:val="395" w:hRule="atLeast"/>
        </w:trPr>
        <w:tc>
          <w:tcPr>
            <w:tcW w:w="142" w:type="dxa"/>
            <w:tcBorders>
              <w:top w:val="nil"/>
              <w:left w:val="nil"/>
              <w:bottom w:val="nil"/>
              <w:right w:val="nil"/>
            </w:tcBorders>
            <w:noWrap w:val="0"/>
            <w:vAlign w:val="center"/>
          </w:tcPr>
          <w:p w14:paraId="461006C9">
            <w:pPr>
              <w:keepNext w:val="0"/>
              <w:keepLines w:val="0"/>
              <w:pageBreakBefore w:val="0"/>
              <w:widowControl w:val="0"/>
              <w:kinsoku/>
              <w:wordWrap/>
              <w:overflowPunct/>
              <w:topLinePunct w:val="0"/>
              <w:autoSpaceDE/>
              <w:autoSpaceDN/>
              <w:bidi w:val="0"/>
              <w:adjustRightInd/>
              <w:snapToGrid/>
              <w:jc w:val="both"/>
              <w:textAlignment w:val="auto"/>
              <w:rPr>
                <w:rFonts w:ascii="宋体" w:hAnsi="宋体" w:cs="宋体"/>
                <w:color w:val="000000"/>
                <w:kern w:val="0"/>
                <w:sz w:val="17"/>
                <w:szCs w:val="17"/>
                <w:highlight w:val="none"/>
              </w:rPr>
            </w:pPr>
          </w:p>
        </w:tc>
      </w:tr>
      <w:tr w14:paraId="21934891">
        <w:tblPrEx>
          <w:tblCellMar>
            <w:top w:w="0" w:type="dxa"/>
            <w:left w:w="0" w:type="dxa"/>
            <w:bottom w:w="0" w:type="dxa"/>
            <w:right w:w="0" w:type="dxa"/>
          </w:tblCellMar>
        </w:tblPrEx>
        <w:trPr>
          <w:trHeight w:val="358" w:hRule="atLeast"/>
        </w:trPr>
        <w:tc>
          <w:tcPr>
            <w:tcW w:w="142" w:type="dxa"/>
            <w:tcBorders>
              <w:top w:val="nil"/>
              <w:left w:val="nil"/>
              <w:bottom w:val="nil"/>
              <w:right w:val="nil"/>
            </w:tcBorders>
            <w:noWrap w:val="0"/>
            <w:vAlign w:val="center"/>
          </w:tcPr>
          <w:p w14:paraId="7F75C629">
            <w:pPr>
              <w:keepNext w:val="0"/>
              <w:keepLines w:val="0"/>
              <w:pageBreakBefore w:val="0"/>
              <w:widowControl w:val="0"/>
              <w:kinsoku/>
              <w:wordWrap/>
              <w:overflowPunct/>
              <w:topLinePunct w:val="0"/>
              <w:autoSpaceDE/>
              <w:autoSpaceDN/>
              <w:bidi w:val="0"/>
              <w:adjustRightInd/>
              <w:snapToGrid/>
              <w:jc w:val="both"/>
              <w:textAlignment w:val="auto"/>
              <w:rPr>
                <w:rFonts w:ascii="宋体" w:hAnsi="宋体" w:cs="宋体"/>
                <w:color w:val="000000"/>
                <w:kern w:val="0"/>
                <w:sz w:val="17"/>
                <w:szCs w:val="17"/>
                <w:highlight w:val="none"/>
              </w:rPr>
            </w:pPr>
          </w:p>
        </w:tc>
      </w:tr>
      <w:tr w14:paraId="24AAB633">
        <w:tblPrEx>
          <w:tblCellMar>
            <w:top w:w="0" w:type="dxa"/>
            <w:left w:w="0" w:type="dxa"/>
            <w:bottom w:w="0" w:type="dxa"/>
            <w:right w:w="0" w:type="dxa"/>
          </w:tblCellMar>
        </w:tblPrEx>
        <w:trPr>
          <w:trHeight w:val="563" w:hRule="atLeast"/>
        </w:trPr>
        <w:tc>
          <w:tcPr>
            <w:tcW w:w="142" w:type="dxa"/>
            <w:tcBorders>
              <w:top w:val="nil"/>
              <w:left w:val="nil"/>
              <w:bottom w:val="nil"/>
              <w:right w:val="nil"/>
            </w:tcBorders>
            <w:noWrap w:val="0"/>
            <w:vAlign w:val="center"/>
          </w:tcPr>
          <w:p w14:paraId="511B37B4">
            <w:pPr>
              <w:keepNext w:val="0"/>
              <w:keepLines w:val="0"/>
              <w:pageBreakBefore w:val="0"/>
              <w:widowControl w:val="0"/>
              <w:kinsoku/>
              <w:wordWrap/>
              <w:overflowPunct/>
              <w:topLinePunct w:val="0"/>
              <w:autoSpaceDE/>
              <w:autoSpaceDN/>
              <w:bidi w:val="0"/>
              <w:adjustRightInd/>
              <w:snapToGrid/>
              <w:jc w:val="both"/>
              <w:textAlignment w:val="auto"/>
              <w:rPr>
                <w:rFonts w:ascii="宋体" w:hAnsi="宋体" w:cs="宋体"/>
                <w:color w:val="000000"/>
                <w:kern w:val="0"/>
                <w:sz w:val="17"/>
                <w:szCs w:val="17"/>
                <w:highlight w:val="none"/>
              </w:rPr>
            </w:pPr>
          </w:p>
        </w:tc>
      </w:tr>
      <w:tr w14:paraId="5EC146EE">
        <w:tblPrEx>
          <w:tblCellMar>
            <w:top w:w="0" w:type="dxa"/>
            <w:left w:w="0" w:type="dxa"/>
            <w:bottom w:w="0" w:type="dxa"/>
            <w:right w:w="0" w:type="dxa"/>
          </w:tblCellMar>
        </w:tblPrEx>
        <w:trPr>
          <w:trHeight w:val="495" w:hRule="atLeast"/>
        </w:trPr>
        <w:tc>
          <w:tcPr>
            <w:tcW w:w="142" w:type="dxa"/>
            <w:noWrap w:val="0"/>
            <w:vAlign w:val="center"/>
          </w:tcPr>
          <w:p w14:paraId="61D234D3">
            <w:pPr>
              <w:keepNext w:val="0"/>
              <w:keepLines w:val="0"/>
              <w:pageBreakBefore w:val="0"/>
              <w:widowControl w:val="0"/>
              <w:kinsoku/>
              <w:wordWrap/>
              <w:overflowPunct/>
              <w:topLinePunct w:val="0"/>
              <w:autoSpaceDE/>
              <w:autoSpaceDN/>
              <w:bidi w:val="0"/>
              <w:adjustRightInd/>
              <w:snapToGrid/>
              <w:jc w:val="both"/>
              <w:textAlignment w:val="auto"/>
              <w:rPr>
                <w:rFonts w:ascii="Times New Roman" w:hAnsi="Times New Roman" w:eastAsia="Times New Roman"/>
                <w:kern w:val="0"/>
                <w:sz w:val="20"/>
                <w:szCs w:val="20"/>
                <w:highlight w:val="none"/>
              </w:rPr>
            </w:pPr>
          </w:p>
        </w:tc>
      </w:tr>
    </w:tbl>
    <w:p w14:paraId="6EDC85CA">
      <w:pPr>
        <w:keepNext w:val="0"/>
        <w:keepLines w:val="0"/>
        <w:pageBreakBefore w:val="0"/>
        <w:widowControl w:val="0"/>
        <w:kinsoku/>
        <w:wordWrap/>
        <w:overflowPunct/>
        <w:topLinePunct w:val="0"/>
        <w:autoSpaceDE/>
        <w:autoSpaceDN/>
        <w:bidi w:val="0"/>
        <w:adjustRightInd/>
        <w:snapToGrid/>
        <w:ind w:firstLine="600" w:firstLineChars="200"/>
        <w:jc w:val="both"/>
        <w:textAlignment w:val="auto"/>
        <w:outlineLvl w:val="1"/>
        <w:rPr>
          <w:rFonts w:hint="eastAsia" w:ascii="黑体" w:hAnsi="黑体" w:eastAsia="黑体" w:cs="黑体"/>
          <w:sz w:val="30"/>
          <w:szCs w:val="30"/>
          <w:highlight w:val="none"/>
        </w:rPr>
      </w:pPr>
      <w:r>
        <w:rPr>
          <w:rFonts w:hint="eastAsia" w:ascii="黑体" w:hAnsi="黑体" w:eastAsia="黑体" w:cs="黑体"/>
          <w:sz w:val="30"/>
          <w:szCs w:val="30"/>
          <w:highlight w:val="none"/>
          <w:lang w:eastAsia="zh-CN"/>
        </w:rPr>
        <w:t>三、政</w:t>
      </w:r>
      <w:r>
        <w:rPr>
          <w:rFonts w:hint="eastAsia" w:ascii="黑体" w:hAnsi="黑体" w:eastAsia="黑体" w:cs="黑体"/>
          <w:sz w:val="30"/>
          <w:szCs w:val="30"/>
          <w:highlight w:val="none"/>
        </w:rPr>
        <w:t>府采购支出情况</w:t>
      </w:r>
    </w:p>
    <w:p w14:paraId="3CED32BB">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2024年度，单位政府采购支出总额</w:t>
      </w:r>
      <w:r>
        <w:rPr>
          <w:rFonts w:hint="eastAsia" w:ascii="仿宋_GB2312" w:hAnsi="Times New Roman" w:eastAsia="仿宋_GB2312" w:cs="Times New Roman"/>
          <w:sz w:val="30"/>
          <w:szCs w:val="30"/>
          <w:highlight w:val="none"/>
          <w:lang w:val="zh-CN"/>
        </w:rPr>
        <w:t>3657666.00</w:t>
      </w:r>
      <w:r>
        <w:rPr>
          <w:rFonts w:hint="eastAsia" w:ascii="仿宋_GB2312" w:hAnsi="Times New Roman" w:eastAsia="仿宋_GB2312" w:cs="Times New Roman"/>
          <w:sz w:val="30"/>
          <w:szCs w:val="30"/>
          <w:highlight w:val="none"/>
          <w:lang w:val="en-US" w:eastAsia="zh-CN"/>
        </w:rPr>
        <w:t>元，其中：政府采购货物支出</w:t>
      </w:r>
      <w:r>
        <w:rPr>
          <w:rFonts w:hint="eastAsia" w:ascii="仿宋_GB2312" w:hAnsi="Times New Roman" w:eastAsia="仿宋_GB2312" w:cs="Times New Roman"/>
          <w:sz w:val="30"/>
          <w:szCs w:val="30"/>
          <w:highlight w:val="none"/>
          <w:lang w:val="zh-CN"/>
        </w:rPr>
        <w:t>380450.00</w:t>
      </w:r>
      <w:r>
        <w:rPr>
          <w:rFonts w:hint="eastAsia" w:ascii="仿宋_GB2312" w:hAnsi="Times New Roman" w:eastAsia="仿宋_GB2312" w:cs="Times New Roman"/>
          <w:sz w:val="30"/>
          <w:szCs w:val="30"/>
          <w:highlight w:val="none"/>
          <w:lang w:val="en-US" w:eastAsia="zh-CN"/>
        </w:rPr>
        <w:t>元；政府采购工程支出</w:t>
      </w:r>
      <w:r>
        <w:rPr>
          <w:rFonts w:hint="eastAsia" w:ascii="仿宋_GB2312" w:hAnsi="Times New Roman" w:eastAsia="仿宋_GB2312" w:cs="Times New Roman"/>
          <w:sz w:val="30"/>
          <w:szCs w:val="30"/>
          <w:highlight w:val="none"/>
          <w:lang w:val="zh-CN"/>
        </w:rPr>
        <w:t>1040200.00</w:t>
      </w:r>
      <w:r>
        <w:rPr>
          <w:rFonts w:hint="eastAsia" w:ascii="仿宋_GB2312" w:hAnsi="Times New Roman" w:eastAsia="仿宋_GB2312" w:cs="Times New Roman"/>
          <w:sz w:val="30"/>
          <w:szCs w:val="30"/>
          <w:highlight w:val="none"/>
          <w:lang w:val="en-US" w:eastAsia="zh-CN"/>
        </w:rPr>
        <w:t>元；政府采购服务支出</w:t>
      </w:r>
      <w:r>
        <w:rPr>
          <w:rFonts w:hint="eastAsia" w:ascii="仿宋_GB2312" w:hAnsi="Times New Roman" w:eastAsia="仿宋_GB2312" w:cs="Times New Roman"/>
          <w:sz w:val="30"/>
          <w:szCs w:val="30"/>
          <w:highlight w:val="none"/>
          <w:lang w:val="zh-CN"/>
        </w:rPr>
        <w:t>2237016.00</w:t>
      </w:r>
      <w:r>
        <w:rPr>
          <w:rFonts w:hint="eastAsia" w:ascii="仿宋_GB2312" w:hAnsi="Times New Roman" w:eastAsia="仿宋_GB2312" w:cs="Times New Roman"/>
          <w:sz w:val="30"/>
          <w:szCs w:val="30"/>
          <w:highlight w:val="none"/>
          <w:lang w:val="en-US" w:eastAsia="zh-CN"/>
        </w:rPr>
        <w:t>元。授予中小企业合同金额</w:t>
      </w:r>
      <w:r>
        <w:rPr>
          <w:rFonts w:hint="eastAsia" w:ascii="仿宋_GB2312" w:hAnsi="Times New Roman" w:eastAsia="仿宋_GB2312" w:cs="Times New Roman"/>
          <w:sz w:val="30"/>
          <w:szCs w:val="30"/>
          <w:highlight w:val="none"/>
          <w:lang w:val="zh-CN"/>
        </w:rPr>
        <w:t>3657666.00</w:t>
      </w:r>
      <w:r>
        <w:rPr>
          <w:rFonts w:hint="eastAsia" w:ascii="仿宋_GB2312" w:hAnsi="Times New Roman" w:eastAsia="仿宋_GB2312" w:cs="Times New Roman"/>
          <w:sz w:val="30"/>
          <w:szCs w:val="30"/>
          <w:highlight w:val="none"/>
          <w:lang w:val="en-US" w:eastAsia="zh-CN"/>
        </w:rPr>
        <w:t>元，其中：授予小微企业合同金额</w:t>
      </w:r>
      <w:r>
        <w:rPr>
          <w:rFonts w:hint="eastAsia" w:ascii="仿宋_GB2312" w:hAnsi="Times New Roman" w:eastAsia="仿宋_GB2312" w:cs="Times New Roman"/>
          <w:sz w:val="30"/>
          <w:szCs w:val="30"/>
          <w:highlight w:val="none"/>
          <w:lang w:val="zh-CN"/>
        </w:rPr>
        <w:t>0.00</w:t>
      </w:r>
      <w:r>
        <w:rPr>
          <w:rFonts w:hint="eastAsia" w:ascii="仿宋_GB2312" w:hAnsi="Times New Roman" w:eastAsia="仿宋_GB2312" w:cs="Times New Roman"/>
          <w:sz w:val="30"/>
          <w:szCs w:val="30"/>
          <w:highlight w:val="none"/>
          <w:lang w:val="en-US" w:eastAsia="zh-CN"/>
        </w:rPr>
        <w:t>元。</w:t>
      </w:r>
    </w:p>
    <w:p w14:paraId="59B24FA7">
      <w:pPr>
        <w:keepNext w:val="0"/>
        <w:keepLines w:val="0"/>
        <w:pageBreakBefore w:val="0"/>
        <w:widowControl w:val="0"/>
        <w:kinsoku/>
        <w:wordWrap/>
        <w:overflowPunct/>
        <w:topLinePunct w:val="0"/>
        <w:autoSpaceDE/>
        <w:autoSpaceDN/>
        <w:bidi w:val="0"/>
        <w:adjustRightInd/>
        <w:ind w:firstLine="600" w:firstLineChars="200"/>
        <w:jc w:val="both"/>
        <w:textAlignment w:val="auto"/>
        <w:outlineLvl w:val="1"/>
        <w:rPr>
          <w:rFonts w:hint="eastAsia" w:ascii="黑体" w:hAnsi="黑体" w:eastAsia="黑体" w:cs="黑体"/>
          <w:sz w:val="30"/>
          <w:szCs w:val="30"/>
          <w:highlight w:val="none"/>
          <w:lang w:val="en-US" w:eastAsia="zh-CN"/>
        </w:rPr>
      </w:pPr>
      <w:r>
        <w:rPr>
          <w:rFonts w:hint="eastAsia" w:ascii="黑体" w:hAnsi="黑体" w:eastAsia="黑体" w:cs="黑体"/>
          <w:sz w:val="30"/>
          <w:szCs w:val="30"/>
          <w:highlight w:val="none"/>
          <w:lang w:val="en-US" w:eastAsia="zh-CN"/>
        </w:rPr>
        <w:t>四、单位绩效自评情况</w:t>
      </w:r>
    </w:p>
    <w:p w14:paraId="30417B5A">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en-US" w:eastAsia="zh-CN"/>
        </w:rPr>
      </w:pPr>
      <w:r>
        <w:rPr>
          <w:rFonts w:hint="eastAsia" w:ascii="仿宋_GB2312" w:hAnsi="Times New Roman" w:eastAsia="仿宋_GB2312" w:cs="Times New Roman"/>
          <w:sz w:val="30"/>
          <w:szCs w:val="30"/>
          <w:highlight w:val="none"/>
          <w:lang w:val="en-US" w:eastAsia="zh-CN"/>
        </w:rPr>
        <w:t>单位绩效自评情况详见附表。</w:t>
      </w:r>
    </w:p>
    <w:p w14:paraId="0026E469">
      <w:pPr>
        <w:keepNext w:val="0"/>
        <w:keepLines w:val="0"/>
        <w:pageBreakBefore w:val="0"/>
        <w:widowControl w:val="0"/>
        <w:kinsoku/>
        <w:wordWrap/>
        <w:overflowPunct/>
        <w:topLinePunct w:val="0"/>
        <w:autoSpaceDE/>
        <w:autoSpaceDN/>
        <w:bidi w:val="0"/>
        <w:adjustRightInd/>
        <w:snapToGrid w:val="0"/>
        <w:spacing w:before="100" w:after="100" w:line="360" w:lineRule="auto"/>
        <w:ind w:firstLine="600" w:firstLineChars="200"/>
        <w:jc w:val="both"/>
        <w:textAlignment w:val="auto"/>
        <w:outlineLvl w:val="1"/>
        <w:rPr>
          <w:rFonts w:hint="eastAsia" w:ascii="黑体" w:hAnsi="黑体" w:eastAsia="黑体" w:cs="黑体"/>
          <w:sz w:val="30"/>
          <w:szCs w:val="30"/>
          <w:highlight w:val="none"/>
          <w:lang w:val="en-US" w:eastAsia="zh-CN"/>
        </w:rPr>
      </w:pPr>
      <w:r>
        <w:rPr>
          <w:rFonts w:hint="eastAsia" w:ascii="黑体" w:hAnsi="黑体" w:eastAsia="黑体" w:cs="黑体"/>
          <w:sz w:val="30"/>
          <w:szCs w:val="30"/>
          <w:highlight w:val="none"/>
          <w:lang w:val="en-US" w:eastAsia="zh-CN"/>
        </w:rPr>
        <w:t>五、其他重要事项情况说明</w:t>
      </w:r>
    </w:p>
    <w:p w14:paraId="5B0F6B44">
      <w:pPr>
        <w:keepNext w:val="0"/>
        <w:keepLines w:val="0"/>
        <w:pageBreakBefore w:val="0"/>
        <w:widowControl w:val="0"/>
        <w:kinsoku/>
        <w:wordWrap/>
        <w:overflowPunct/>
        <w:topLinePunct w:val="0"/>
        <w:autoSpaceDE/>
        <w:autoSpaceDN/>
        <w:bidi w:val="0"/>
        <w:adjustRightInd/>
        <w:snapToGrid/>
        <w:ind w:firstLine="600" w:firstLineChars="200"/>
        <w:jc w:val="both"/>
        <w:textAlignment w:val="auto"/>
        <w:rPr>
          <w:rFonts w:hint="default" w:ascii="仿宋_GB2312" w:hAnsi="仿宋_GB2312" w:eastAsia="仿宋_GB2312" w:cs="仿宋_GB2312"/>
          <w:sz w:val="30"/>
          <w:szCs w:val="30"/>
          <w:highlight w:val="none"/>
          <w:lang w:val="en-US" w:eastAsia="zh-CN"/>
        </w:rPr>
      </w:pPr>
      <w:r>
        <w:rPr>
          <w:rFonts w:hint="eastAsia" w:ascii="仿宋_GB2312" w:hAnsi="Times New Roman" w:eastAsia="仿宋_GB2312" w:cs="Times New Roman"/>
          <w:sz w:val="30"/>
          <w:szCs w:val="30"/>
          <w:highlight w:val="none"/>
          <w:lang w:val="en-US" w:eastAsia="zh-CN"/>
        </w:rPr>
        <w:t>无其他重要事项情况说明。</w:t>
      </w:r>
    </w:p>
    <w:p w14:paraId="639AFE0A">
      <w:pPr>
        <w:keepNext w:val="0"/>
        <w:keepLines w:val="0"/>
        <w:pageBreakBefore w:val="0"/>
        <w:widowControl w:val="0"/>
        <w:kinsoku/>
        <w:wordWrap/>
        <w:overflowPunct/>
        <w:topLinePunct w:val="0"/>
        <w:autoSpaceDE/>
        <w:autoSpaceDN/>
        <w:bidi w:val="0"/>
        <w:adjustRightInd/>
        <w:snapToGrid w:val="0"/>
        <w:spacing w:before="100" w:after="100" w:line="360" w:lineRule="auto"/>
        <w:ind w:firstLine="600" w:firstLineChars="200"/>
        <w:jc w:val="both"/>
        <w:textAlignment w:val="auto"/>
        <w:outlineLvl w:val="1"/>
        <w:rPr>
          <w:rFonts w:hint="eastAsia" w:ascii="黑体" w:hAnsi="黑体" w:eastAsia="黑体" w:cs="黑体"/>
          <w:sz w:val="30"/>
          <w:szCs w:val="30"/>
          <w:highlight w:val="none"/>
          <w:lang w:val="en-US" w:eastAsia="zh-CN"/>
        </w:rPr>
      </w:pPr>
      <w:r>
        <w:rPr>
          <w:rFonts w:hint="eastAsia" w:ascii="黑体" w:hAnsi="黑体" w:eastAsia="黑体" w:cs="黑体"/>
          <w:sz w:val="30"/>
          <w:szCs w:val="30"/>
          <w:highlight w:val="none"/>
          <w:lang w:val="en-US" w:eastAsia="zh-CN"/>
        </w:rPr>
        <w:t>六、相关口径说明</w:t>
      </w:r>
    </w:p>
    <w:p w14:paraId="7217A557">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zh-CN"/>
        </w:rPr>
      </w:pPr>
      <w:r>
        <w:rPr>
          <w:rFonts w:hint="eastAsia" w:ascii="仿宋_GB2312" w:hAnsi="Times New Roman" w:eastAsia="仿宋_GB2312" w:cs="Times New Roman"/>
          <w:sz w:val="30"/>
          <w:szCs w:val="30"/>
          <w:highlight w:val="none"/>
          <w:lang w:val="zh-CN" w:eastAsia="zh-CN"/>
        </w:rPr>
        <w:t>（一）</w:t>
      </w:r>
      <w:r>
        <w:rPr>
          <w:rFonts w:hint="eastAsia" w:ascii="仿宋_GB2312" w:hAnsi="Times New Roman" w:eastAsia="仿宋_GB2312" w:cs="Times New Roman"/>
          <w:sz w:val="30"/>
          <w:szCs w:val="30"/>
          <w:highlight w:val="none"/>
          <w:lang w:val="zh-CN"/>
        </w:rPr>
        <w:t>基本支出中人员经费包括工资福利支出和对个人和家庭的补助，公用</w:t>
      </w:r>
      <w:r>
        <w:rPr>
          <w:rFonts w:hint="eastAsia" w:ascii="仿宋_GB2312" w:hAnsi="Times New Roman" w:eastAsia="仿宋_GB2312" w:cs="Times New Roman"/>
          <w:sz w:val="30"/>
          <w:szCs w:val="30"/>
          <w:highlight w:val="none"/>
          <w:lang w:val="zh-CN" w:eastAsia="zh-CN"/>
        </w:rPr>
        <w:t>经费</w:t>
      </w:r>
      <w:r>
        <w:rPr>
          <w:rFonts w:hint="eastAsia" w:ascii="仿宋_GB2312" w:hAnsi="Times New Roman" w:eastAsia="仿宋_GB2312" w:cs="Times New Roman"/>
          <w:sz w:val="30"/>
          <w:szCs w:val="30"/>
          <w:highlight w:val="none"/>
          <w:lang w:val="zh-CN"/>
        </w:rPr>
        <w:t>包括商品和服务支出、资本性支出等人员经费以外的支出。</w:t>
      </w:r>
    </w:p>
    <w:p w14:paraId="506F33A8">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zh-CN"/>
        </w:rPr>
      </w:pPr>
      <w:r>
        <w:rPr>
          <w:rFonts w:hint="eastAsia" w:ascii="仿宋_GB2312" w:hAnsi="Times New Roman" w:eastAsia="仿宋_GB2312" w:cs="Times New Roman"/>
          <w:sz w:val="30"/>
          <w:szCs w:val="30"/>
          <w:highlight w:val="none"/>
          <w:lang w:val="zh-CN" w:eastAsia="zh-CN"/>
        </w:rPr>
        <w:t>（二）</w:t>
      </w:r>
      <w:r>
        <w:rPr>
          <w:rFonts w:hint="eastAsia" w:ascii="仿宋_GB2312" w:hAnsi="Times New Roman" w:eastAsia="仿宋_GB2312" w:cs="Times New Roman"/>
          <w:sz w:val="30"/>
          <w:szCs w:val="30"/>
          <w:highlight w:val="none"/>
          <w:lang w:val="zh-CN"/>
        </w:rPr>
        <w:t>机关运行经费指行政单位和参照公务员法管理的事业单位使用一般公共预算财政拨款安排的基本支出中的公用经费支出</w:t>
      </w:r>
      <w:r>
        <w:rPr>
          <w:rFonts w:hint="eastAsia" w:ascii="仿宋_GB2312" w:hAnsi="Times New Roman" w:eastAsia="仿宋_GB2312" w:cs="Times New Roman"/>
          <w:sz w:val="30"/>
          <w:szCs w:val="30"/>
          <w:highlight w:val="none"/>
          <w:lang w:val="zh-CN" w:eastAsia="zh-CN"/>
        </w:rPr>
        <w:t>。</w:t>
      </w:r>
    </w:p>
    <w:p w14:paraId="24D34949">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zh-CN" w:eastAsia="zh-CN"/>
        </w:rPr>
      </w:pPr>
      <w:r>
        <w:rPr>
          <w:rFonts w:hint="eastAsia" w:ascii="仿宋_GB2312" w:hAnsi="Times New Roman" w:eastAsia="仿宋_GB2312" w:cs="Times New Roman"/>
          <w:sz w:val="30"/>
          <w:szCs w:val="30"/>
          <w:highlight w:val="none"/>
          <w:lang w:val="zh-CN" w:eastAsia="zh-CN"/>
        </w:rPr>
        <w:t>（三）</w:t>
      </w:r>
      <w:r>
        <w:rPr>
          <w:rFonts w:hint="eastAsia" w:ascii="仿宋_GB2312" w:hAnsi="Times New Roman" w:eastAsia="仿宋_GB2312" w:cs="Times New Roman"/>
          <w:sz w:val="30"/>
          <w:szCs w:val="30"/>
          <w:highlight w:val="none"/>
          <w:lang w:val="zh-CN"/>
        </w:rPr>
        <w:t>按照党中央、国务院有关文件及部门预算管理有关规定，“三公”经费包括因公出国（境）费、公务用车购置及运行维护费、公务接待费。其中：因公出国（境）费，指单位公务出国（境）的国际旅费、国外城市间交通费、住宿费、伙食费、培训费、公杂费等支出；公务用车购置费，指公务用车购置支出（含车辆购置税</w:t>
      </w:r>
      <w:r>
        <w:rPr>
          <w:rFonts w:hint="eastAsia" w:ascii="仿宋_GB2312" w:hAnsi="Times New Roman" w:eastAsia="仿宋_GB2312" w:cs="Times New Roman"/>
          <w:sz w:val="30"/>
          <w:szCs w:val="30"/>
          <w:highlight w:val="none"/>
          <w:lang w:val="zh-CN" w:eastAsia="zh-CN"/>
        </w:rPr>
        <w:t>、牌照费</w:t>
      </w:r>
      <w:r>
        <w:rPr>
          <w:rFonts w:hint="eastAsia" w:ascii="仿宋_GB2312" w:hAnsi="Times New Roman" w:eastAsia="仿宋_GB2312" w:cs="Times New Roman"/>
          <w:sz w:val="30"/>
          <w:szCs w:val="30"/>
          <w:highlight w:val="none"/>
          <w:lang w:val="zh-CN"/>
        </w:rPr>
        <w:t>）；公务用车运行维护费，指单位按规定保留的公务用车燃料费、维修费、过桥过路费、保险费、安全奖励费用等支出；公务用车指用于履行公务的机动车辆，包括省部级干部专车、一般公务用车和执法执勤用车；公务接待费，指单位按规定开支的各类公务接待（含外宾接待）费用。</w:t>
      </w:r>
      <w:r>
        <w:rPr>
          <w:rFonts w:hint="eastAsia" w:ascii="仿宋_GB2312" w:hAnsi="Times New Roman" w:eastAsia="仿宋_GB2312" w:cs="Times New Roman"/>
          <w:sz w:val="30"/>
          <w:szCs w:val="30"/>
          <w:highlight w:val="none"/>
          <w:lang w:val="zh-CN" w:eastAsia="zh-CN"/>
        </w:rPr>
        <w:t>本文中公开的财政拨款“三公”经费相关数据是一般公共预算、政府性基金及国有资本经营预算财政拨款支出的相关经费，不含非财政拨款部分。</w:t>
      </w:r>
    </w:p>
    <w:p w14:paraId="00DF52DC">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zh-CN"/>
        </w:rPr>
      </w:pPr>
      <w:r>
        <w:rPr>
          <w:rFonts w:hint="eastAsia" w:ascii="仿宋_GB2312" w:hAnsi="Times New Roman" w:eastAsia="仿宋_GB2312" w:cs="Times New Roman"/>
          <w:sz w:val="30"/>
          <w:szCs w:val="30"/>
          <w:highlight w:val="none"/>
          <w:lang w:val="zh-CN" w:eastAsia="zh-CN"/>
        </w:rPr>
        <w:t>（四）本文所称财政拨款</w:t>
      </w:r>
      <w:r>
        <w:rPr>
          <w:rFonts w:hint="eastAsia" w:ascii="仿宋_GB2312" w:hAnsi="Times New Roman" w:eastAsia="仿宋_GB2312" w:cs="Times New Roman"/>
          <w:sz w:val="30"/>
          <w:szCs w:val="30"/>
          <w:highlight w:val="none"/>
          <w:lang w:val="zh-CN"/>
        </w:rPr>
        <w:t>“三公”经费决算数</w:t>
      </w:r>
      <w:r>
        <w:rPr>
          <w:rFonts w:hint="eastAsia" w:ascii="仿宋_GB2312" w:hAnsi="Times New Roman" w:eastAsia="仿宋_GB2312" w:cs="Times New Roman"/>
          <w:sz w:val="30"/>
          <w:szCs w:val="30"/>
          <w:highlight w:val="none"/>
          <w:lang w:val="zh-CN" w:eastAsia="zh-CN"/>
        </w:rPr>
        <w:t>是</w:t>
      </w:r>
      <w:r>
        <w:rPr>
          <w:rFonts w:hint="eastAsia" w:ascii="仿宋_GB2312" w:hAnsi="Times New Roman" w:eastAsia="仿宋_GB2312" w:cs="Times New Roman"/>
          <w:sz w:val="30"/>
          <w:szCs w:val="30"/>
          <w:highlight w:val="none"/>
          <w:lang w:val="zh-CN"/>
        </w:rPr>
        <w:t>指各部门（含下属单位）</w:t>
      </w:r>
      <w:r>
        <w:rPr>
          <w:rFonts w:hint="eastAsia" w:ascii="仿宋_GB2312" w:hAnsi="Times New Roman" w:eastAsia="仿宋_GB2312" w:cs="Times New Roman"/>
          <w:sz w:val="30"/>
          <w:szCs w:val="30"/>
          <w:highlight w:val="none"/>
          <w:lang w:val="zh-CN" w:eastAsia="zh-CN"/>
        </w:rPr>
        <w:t>或单位</w:t>
      </w:r>
      <w:r>
        <w:rPr>
          <w:rFonts w:hint="eastAsia" w:ascii="仿宋_GB2312" w:hAnsi="Times New Roman" w:eastAsia="仿宋_GB2312" w:cs="Times New Roman"/>
          <w:sz w:val="30"/>
          <w:szCs w:val="30"/>
          <w:highlight w:val="none"/>
          <w:lang w:val="zh-CN"/>
        </w:rPr>
        <w:t>当年通过本级财政拨款和以前年度财政拨款结转结余资金安排的因公出国（境）费、公务用车购置及运行维护费和公务接待费支出数（包括基本支出和项目支出）。</w:t>
      </w:r>
    </w:p>
    <w:p w14:paraId="1EB8327E">
      <w:pPr>
        <w:keepNext w:val="0"/>
        <w:keepLines w:val="0"/>
        <w:pageBreakBefore w:val="0"/>
        <w:widowControl w:val="0"/>
        <w:kinsoku/>
        <w:wordWrap/>
        <w:overflowPunct/>
        <w:topLinePunct w:val="0"/>
        <w:autoSpaceDE/>
        <w:autoSpaceDN/>
        <w:bidi w:val="0"/>
        <w:adjustRightInd/>
        <w:jc w:val="center"/>
        <w:textAlignment w:val="auto"/>
        <w:outlineLvl w:val="0"/>
        <w:rPr>
          <w:rFonts w:hint="eastAsia" w:ascii="黑体" w:hAnsi="黑体" w:eastAsia="黑体" w:cs="方正小标宋简体"/>
          <w:sz w:val="32"/>
          <w:szCs w:val="32"/>
          <w:highlight w:val="none"/>
        </w:rPr>
      </w:pPr>
      <w:r>
        <w:rPr>
          <w:rFonts w:hint="eastAsia" w:ascii="黑体" w:hAnsi="黑体" w:eastAsia="黑体" w:cs="方正小标宋简体"/>
          <w:sz w:val="32"/>
          <w:szCs w:val="32"/>
          <w:highlight w:val="none"/>
        </w:rPr>
        <w:t>第</w:t>
      </w:r>
      <w:r>
        <w:rPr>
          <w:rFonts w:hint="eastAsia" w:ascii="黑体" w:hAnsi="黑体" w:eastAsia="黑体" w:cs="方正小标宋简体"/>
          <w:sz w:val="32"/>
          <w:szCs w:val="32"/>
          <w:highlight w:val="none"/>
          <w:lang w:eastAsia="zh-CN"/>
        </w:rPr>
        <w:t>五</w:t>
      </w:r>
      <w:r>
        <w:rPr>
          <w:rFonts w:hint="eastAsia" w:ascii="黑体" w:hAnsi="黑体" w:eastAsia="黑体" w:cs="方正小标宋简体"/>
          <w:sz w:val="32"/>
          <w:szCs w:val="32"/>
          <w:highlight w:val="none"/>
        </w:rPr>
        <w:t>部分  名词解释</w:t>
      </w:r>
    </w:p>
    <w:p w14:paraId="16503168">
      <w:pPr>
        <w:keepNext w:val="0"/>
        <w:keepLines w:val="0"/>
        <w:pageBreakBefore w:val="0"/>
        <w:widowControl w:val="0"/>
        <w:kinsoku/>
        <w:wordWrap/>
        <w:overflowPunct/>
        <w:topLinePunct w:val="0"/>
        <w:autoSpaceDE/>
        <w:autoSpaceDN/>
        <w:bidi w:val="0"/>
        <w:adjustRightInd/>
        <w:spacing w:line="600" w:lineRule="exact"/>
        <w:ind w:firstLine="600" w:firstLineChars="200"/>
        <w:textAlignment w:val="auto"/>
        <w:rPr>
          <w:rFonts w:hint="eastAsia" w:ascii="仿宋_GB2312" w:hAnsi="Times New Roman" w:eastAsia="仿宋_GB2312" w:cs="Times New Roman"/>
          <w:sz w:val="30"/>
          <w:szCs w:val="30"/>
          <w:highlight w:val="none"/>
          <w:lang w:val="zh-CN"/>
        </w:rPr>
      </w:pPr>
      <w:r>
        <w:rPr>
          <w:rFonts w:hint="eastAsia" w:ascii="仿宋_GB2312" w:hAnsi="Times New Roman" w:eastAsia="仿宋_GB2312" w:cs="Times New Roman"/>
          <w:sz w:val="30"/>
          <w:szCs w:val="30"/>
          <w:highlight w:val="none"/>
          <w:lang w:val="zh-CN" w:eastAsia="zh-CN"/>
        </w:rPr>
        <w:t>部门决算：各部门依据国家有关法律法规规定及其履行职能情况编制，反映部门和单位所有预算收支和结余执行结果及绩效等情况的综合性年度报告，是改进部门预算执行以及编制后续年度部门预算的参考和依据。</w:t>
      </w:r>
    </w:p>
    <w:p w14:paraId="511A7249">
      <w:pPr>
        <w:keepNext w:val="0"/>
        <w:keepLines w:val="0"/>
        <w:pageBreakBefore w:val="0"/>
        <w:widowControl w:val="0"/>
        <w:kinsoku/>
        <w:wordWrap/>
        <w:overflowPunct/>
        <w:topLinePunct w:val="0"/>
        <w:autoSpaceDE/>
        <w:autoSpaceDN/>
        <w:bidi w:val="0"/>
        <w:adjustRightInd/>
        <w:snapToGrid/>
        <w:jc w:val="both"/>
        <w:textAlignment w:val="auto"/>
        <w:rPr>
          <w:highlight w:val="none"/>
        </w:rPr>
      </w:pPr>
    </w:p>
    <w:sectPr>
      <w:headerReference r:id="rId3" w:type="default"/>
      <w:footerReference r:id="rId4" w:type="default"/>
      <w:footerReference r:id="rId5" w:type="even"/>
      <w:pgSz w:w="11906" w:h="16838"/>
      <w:pgMar w:top="2098" w:right="1418" w:bottom="1588" w:left="1644"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BE5C5F">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956"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01405364">
                          <w:pPr>
                            <w:pStyle w:val="3"/>
                            <w:rPr>
                              <w:rStyle w:val="8"/>
                            </w:rPr>
                          </w:pPr>
                          <w:r>
                            <w:rPr>
                              <w:rStyle w:val="8"/>
                              <w:sz w:val="28"/>
                              <w:szCs w:val="28"/>
                            </w:rPr>
                            <w:fldChar w:fldCharType="begin"/>
                          </w:r>
                          <w:r>
                            <w:rPr>
                              <w:rStyle w:val="8"/>
                              <w:sz w:val="28"/>
                              <w:szCs w:val="28"/>
                            </w:rPr>
                            <w:instrText xml:space="preserve">PAGE  </w:instrText>
                          </w:r>
                          <w:r>
                            <w:rPr>
                              <w:sz w:val="28"/>
                              <w:szCs w:val="28"/>
                            </w:rPr>
                            <w:fldChar w:fldCharType="separate"/>
                          </w:r>
                          <w:r>
                            <w:rPr>
                              <w:rStyle w:val="8"/>
                              <w:sz w:val="28"/>
                              <w:szCs w:val="28"/>
                            </w:rPr>
                            <w:t>8</w:t>
                          </w:r>
                          <w:r>
                            <w:rPr>
                              <w:sz w:val="28"/>
                              <w:szCs w:val="28"/>
                            </w:rPr>
                            <w:fldChar w:fldCharType="end"/>
                          </w:r>
                        </w:p>
                      </w:txbxContent>
                    </wps:txbx>
                    <wps:bodyPr rot="0" spcFirstLastPara="0" vertOverflow="overflow" horzOverflow="overflow" vert="horz" wrap="none" lIns="0" tIns="0" rIns="0" bIns="0" numCol="1" anchor="t" upright="0">
                      <a:spAutoFit/>
                    </wps:bodyPr>
                  </wps:wsp>
                </a:graphicData>
              </a:graphic>
            </wp:anchor>
          </w:drawing>
        </mc:Choice>
        <mc:Fallback>
          <w:pict>
            <v:rect id="文本框 1" o:spid="_x0000_s1026" o:spt="1"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5dblS0AAAAAUBAAAPAAAAAAAAAAEAIAAAACIAAABkcnMvZG93bnJldi54bWxQ&#10;SwECFAAUAAAACACHTuJA3+LGsf8BAAAABAAADgAAAAAAAAABACAAAAAfAQAAZHJzL2Uyb0RvYy54&#10;bWxQSwUGAAAAAAYABgBZAQAAkAUAAAAA&#10;">
              <v:fill on="f" focussize="0,0"/>
              <v:stroke on="f"/>
              <v:imagedata o:title=""/>
              <o:lock v:ext="edit" aspectratio="f"/>
              <v:textbox inset="0mm,0mm,0mm,0mm" style="mso-fit-shape-to-text:t;">
                <w:txbxContent>
                  <w:p w14:paraId="01405364">
                    <w:pPr>
                      <w:pStyle w:val="3"/>
                      <w:rPr>
                        <w:rStyle w:val="8"/>
                      </w:rPr>
                    </w:pPr>
                    <w:r>
                      <w:rPr>
                        <w:rStyle w:val="8"/>
                        <w:sz w:val="28"/>
                        <w:szCs w:val="28"/>
                      </w:rPr>
                      <w:fldChar w:fldCharType="begin"/>
                    </w:r>
                    <w:r>
                      <w:rPr>
                        <w:rStyle w:val="8"/>
                        <w:sz w:val="28"/>
                        <w:szCs w:val="28"/>
                      </w:rPr>
                      <w:instrText xml:space="preserve">PAGE  </w:instrText>
                    </w:r>
                    <w:r>
                      <w:rPr>
                        <w:sz w:val="28"/>
                        <w:szCs w:val="28"/>
                      </w:rPr>
                      <w:fldChar w:fldCharType="separate"/>
                    </w:r>
                    <w:r>
                      <w:rPr>
                        <w:rStyle w:val="8"/>
                        <w:sz w:val="28"/>
                        <w:szCs w:val="28"/>
                      </w:rPr>
                      <w:t>8</w:t>
                    </w:r>
                    <w:r>
                      <w:rPr>
                        <w:sz w:val="28"/>
                        <w:szCs w:val="28"/>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DE2EB4">
    <w:pPr>
      <w:pStyle w:val="3"/>
      <w:framePr w:wrap="around" w:vAnchor="text" w:hAnchor="margin" w:xAlign="center" w:y="1"/>
      <w:rPr>
        <w:rStyle w:val="8"/>
      </w:rPr>
    </w:pPr>
    <w:r>
      <w:rPr>
        <w:rStyle w:val="8"/>
      </w:rPr>
      <w:fldChar w:fldCharType="begin"/>
    </w:r>
    <w:r>
      <w:rPr>
        <w:rStyle w:val="8"/>
      </w:rPr>
      <w:instrText xml:space="preserve">PAGE  </w:instrText>
    </w:r>
    <w:r>
      <w:fldChar w:fldCharType="separate"/>
    </w:r>
    <w:r>
      <w:fldChar w:fldCharType="end"/>
    </w:r>
  </w:p>
  <w:p w14:paraId="327C1E4B">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55C5B">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822690"/>
    <w:rsid w:val="0F3B52A2"/>
    <w:rsid w:val="12864C9F"/>
    <w:rsid w:val="19DE27E1"/>
    <w:rsid w:val="1B0167A6"/>
    <w:rsid w:val="1CFC5477"/>
    <w:rsid w:val="20452FCB"/>
    <w:rsid w:val="229900B1"/>
    <w:rsid w:val="31D819DB"/>
    <w:rsid w:val="35731BF7"/>
    <w:rsid w:val="3D4214FC"/>
    <w:rsid w:val="3F680ED5"/>
    <w:rsid w:val="49A34F55"/>
    <w:rsid w:val="4A2B56F8"/>
    <w:rsid w:val="4E012B13"/>
    <w:rsid w:val="50EF43D0"/>
    <w:rsid w:val="564F0C5D"/>
    <w:rsid w:val="5FCE168D"/>
    <w:rsid w:val="60525642"/>
    <w:rsid w:val="61E12E77"/>
    <w:rsid w:val="629152E7"/>
    <w:rsid w:val="66003776"/>
    <w:rsid w:val="66395F5A"/>
    <w:rsid w:val="69121093"/>
    <w:rsid w:val="78320EC2"/>
  </w:rsids>
  <m:mathPr>
    <m:mathFont m:val="Cambria Math"/>
    <m:brkBin m:val="before"/>
    <m:brkBinSub m:val="--"/>
    <m:smallFrac m:val="0"/>
    <m:dispDef/>
    <m:lMargin m:val="0"/>
    <m:rMargin m:val="0"/>
    <m:defJc m:val="centerGroup"/>
    <m:preSp m:val="0"/>
    <m:postSp m:val="0"/>
    <m:interSp m:val="0"/>
    <m:intraSp m:val="0"/>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iPriority="99"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iPriority="99"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before="93" w:beforeLines="30"/>
    </w:pPr>
    <w:rPr>
      <w:rFonts w:ascii="仿宋_GB2312" w:eastAsia="仿宋_GB2312"/>
      <w:sz w:val="30"/>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8">
    <w:name w:val="page number"/>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云南省财政厅</Company>
  <Pages>21</Pages>
  <Words>9220</Words>
  <Characters>10600</Characters>
  <Lines>0</Lines>
  <Paragraphs>0</Paragraphs>
  <TotalTime>8</TotalTime>
  <ScaleCrop>false</ScaleCrop>
  <LinksUpToDate>false</LinksUpToDate>
  <CharactersWithSpaces>10623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2024-06-03T01:34:00Z</dcterms:created>
  <dc:creator>李瑞婷_x0028_拟稿_x0029_</dc:creator>
  <cp:lastModifiedBy>七七</cp:lastModifiedBy>
  <cp:lastPrinted>2024-07-30T06:24:00Z</cp:lastPrinted>
  <dcterms:modified xsi:type="dcterms:W3CDTF">2025-08-25T02:37:57Z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KSOTemplateDocerSaveRecord">
    <vt:lpwstr>eyJoZGlkIjoiODUzOGRkZDZkOGMyYzA1ZWEzY2JmNzI3NWZmMjhkMjQiLCJ1c2VySWQiOiIyNjgyMjg5MDkifQ==</vt:lpwstr>
  </property>
  <property fmtid="{D5CDD505-2E9C-101B-9397-08002B2CF9AE}" pid="4" name="ICV">
    <vt:lpwstr>589D0205A5494AACB29487DCECABAE2D_13</vt:lpwstr>
  </property>
</Properties>
</file>