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BE9D14">
      <w:pPr>
        <w:spacing w:line="460" w:lineRule="exact"/>
        <w:ind w:firstLine="538" w:firstLineChars="200"/>
        <w:jc w:val="left"/>
        <w:outlineLvl w:val="0"/>
        <w:rPr>
          <w:rFonts w:hint="eastAsia" w:ascii="宋体" w:hAnsi="宋体" w:eastAsia="宋体"/>
          <w:b/>
          <w:bCs/>
          <w:color w:val="auto"/>
          <w:spacing w:val="-6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/>
          <w:b/>
          <w:bCs/>
          <w:color w:val="auto"/>
          <w:spacing w:val="-6"/>
          <w:sz w:val="28"/>
          <w:szCs w:val="28"/>
          <w:highlight w:val="none"/>
        </w:rPr>
        <w:t>附件：综合评审标准</w:t>
      </w:r>
      <w:r>
        <w:rPr>
          <w:rFonts w:hint="eastAsia" w:ascii="宋体" w:hAnsi="宋体" w:eastAsia="宋体"/>
          <w:b/>
          <w:bCs/>
          <w:color w:val="auto"/>
          <w:spacing w:val="-6"/>
          <w:sz w:val="28"/>
          <w:szCs w:val="28"/>
          <w:highlight w:val="none"/>
          <w:lang w:eastAsia="zh-CN"/>
        </w:rPr>
        <w:t>（学校运动文化主题设计及展板制作项目）</w:t>
      </w:r>
    </w:p>
    <w:tbl>
      <w:tblPr>
        <w:tblStyle w:val="4"/>
        <w:tblW w:w="99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853"/>
        <w:gridCol w:w="7748"/>
      </w:tblGrid>
      <w:tr w14:paraId="542A6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0C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highlight w:val="none"/>
              </w:rPr>
              <w:t>评分内容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BD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highlight w:val="none"/>
              </w:rPr>
              <w:t>分值</w:t>
            </w:r>
          </w:p>
        </w:tc>
        <w:tc>
          <w:tcPr>
            <w:tcW w:w="7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78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highlight w:val="none"/>
              </w:rPr>
              <w:t>评分标准</w:t>
            </w:r>
          </w:p>
        </w:tc>
      </w:tr>
      <w:tr w14:paraId="1B1D7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AE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报价评审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F6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分</w:t>
            </w:r>
          </w:p>
        </w:tc>
        <w:tc>
          <w:tcPr>
            <w:tcW w:w="7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D1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满足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比选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文件要求且投标价格最低的投标报价为评标基准价。其价格得分为满分。其他投标人的投标报价得分＝（评标基准价/该投标人的投标报价）×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0。</w:t>
            </w:r>
          </w:p>
        </w:tc>
      </w:tr>
      <w:tr w14:paraId="23F7B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77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项目实施方案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87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30分</w:t>
            </w:r>
          </w:p>
        </w:tc>
        <w:tc>
          <w:tcPr>
            <w:tcW w:w="7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67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项目实施方案详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细，内容全面、具体，针对性强，能够很好的满足项目需求的得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21-30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分；</w:t>
            </w:r>
          </w:p>
          <w:p w14:paraId="437A9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项目实施方案内容完整，有一定的针对性，基本能满足项目需求的得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11-20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分；</w:t>
            </w:r>
          </w:p>
          <w:p w14:paraId="32429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项目实施方案内容缺漏或针对性不足或不能满足项目需求的得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1-10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分；</w:t>
            </w:r>
          </w:p>
          <w:p w14:paraId="2E382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无项目实施方案的得0分。</w:t>
            </w:r>
          </w:p>
        </w:tc>
      </w:tr>
      <w:tr w14:paraId="35911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5F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工期承诺及保证措施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29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10分</w:t>
            </w:r>
          </w:p>
        </w:tc>
        <w:tc>
          <w:tcPr>
            <w:tcW w:w="7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B3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（1）工期承诺满足比选文件要求且保证措施详细可行，且有具体的违约责任承诺和施工进度计划，针对性强，并能保证工期的得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8-10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分；</w:t>
            </w:r>
          </w:p>
          <w:p w14:paraId="777CF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（2）工期承诺满足比选文件要求且保证措施可行，且有违约责任承诺和施工进度计划，针对性一般，并能保证工期的得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4-7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分；</w:t>
            </w:r>
          </w:p>
          <w:p w14:paraId="52DD9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（3）工期承诺及保证措施满足竞争性比选文件要求，针对性差，或有错误（如：与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比选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工期相矛盾等）或有缺项的得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1-3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分；</w:t>
            </w:r>
          </w:p>
          <w:p w14:paraId="6BA81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eastAsia="等线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（4） 无工期承诺及保证措施的不得分。</w:t>
            </w:r>
          </w:p>
        </w:tc>
      </w:tr>
      <w:tr w14:paraId="1DA87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02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cs="宋体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质量承诺及保证措施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87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cs="宋体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cs="宋体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分</w:t>
            </w:r>
          </w:p>
        </w:tc>
        <w:tc>
          <w:tcPr>
            <w:tcW w:w="7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D8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1.针对本项目实际情况制定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质量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承诺和保证措施，内容详尽、具有针对性，保证措施合理、惩罚措施明确合理、具有操作性的得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8-10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分；</w:t>
            </w:r>
          </w:p>
          <w:p w14:paraId="3E18E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质量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承诺和保证措施内容基本完整、具有一定针对性，保证措施、惩罚措施保障力度不强、可操作性一般的得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4-7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分；</w:t>
            </w:r>
          </w:p>
          <w:p w14:paraId="5346C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质量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承诺和保证措施不完整、内容宽泛有缺漏，保证措施、惩罚措施、无操作性的得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1-3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分。</w:t>
            </w:r>
          </w:p>
          <w:p w14:paraId="1D60D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4.未提供服务质量承诺及保证措施的不得分。</w:t>
            </w:r>
          </w:p>
        </w:tc>
      </w:tr>
      <w:tr w14:paraId="25865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17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安全文明施工保证措施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F8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10分</w:t>
            </w:r>
          </w:p>
        </w:tc>
        <w:tc>
          <w:tcPr>
            <w:tcW w:w="7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74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1.安全文明施工保证措施（满分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分）</w:t>
            </w:r>
          </w:p>
          <w:p w14:paraId="24F50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供应商针对本项目提供完善的安全文明施工保证措施，措施内容包含但不限于①防火、②安全用电、③材料堆放、④垃圾清运、⑤场容场貌，⑥安全警示、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⑦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防尘降噪等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项内容，</w:t>
            </w:r>
          </w:p>
          <w:p w14:paraId="03A10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上述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项内容，每项内容1分。</w:t>
            </w:r>
          </w:p>
          <w:p w14:paraId="21499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（1）措施科学、合理、详细且有针对性的，每项得1分。</w:t>
            </w:r>
          </w:p>
          <w:p w14:paraId="2D55C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（2）措施科学性、合理性、针对性有欠缺，不全面的，每项得0.5分。</w:t>
            </w:r>
          </w:p>
          <w:p w14:paraId="79E36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（3）未提供或提供内容存在重大偏差或与本项目不符的每项得0分。</w:t>
            </w:r>
          </w:p>
          <w:p w14:paraId="5DFA4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2.违约责任承诺（满分3分）</w:t>
            </w:r>
          </w:p>
          <w:p w14:paraId="7D610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违约责任承诺详细全面、合理具体的得3分；违约责任承诺基本全面，较合理具体的得2分；违约责任承诺粗略宽泛、缺乏合理性或不够具体的得1分；无相关违约责任的得0分。</w:t>
            </w:r>
          </w:p>
        </w:tc>
      </w:tr>
      <w:tr w14:paraId="2EB77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FC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售后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服务方案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BB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分</w:t>
            </w:r>
          </w:p>
        </w:tc>
        <w:tc>
          <w:tcPr>
            <w:tcW w:w="7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C2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1.针对本项目实际情况制定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售后方案及违约承诺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，内容详尽、具有针对性，保证措施合理、惩罚措施明确合理、具有操作性的得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8-10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分；</w:t>
            </w:r>
          </w:p>
          <w:p w14:paraId="2B3AE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售后方案及违约承诺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内容基本完整、具有一定针对性，保证措施、惩罚措施保障力度不强、可操作性一般的得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4-7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分；</w:t>
            </w:r>
          </w:p>
          <w:p w14:paraId="7D2EE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售后方案及违约承诺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不完整、内容宽泛有缺漏，保证措施、惩罚措施、无操作性的得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1-3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分。</w:t>
            </w:r>
          </w:p>
          <w:p w14:paraId="2858C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4.未提供服务质量承诺及保证措施的不得分。</w:t>
            </w:r>
          </w:p>
        </w:tc>
      </w:tr>
      <w:tr w14:paraId="3C285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52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业绩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E7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分</w:t>
            </w:r>
          </w:p>
        </w:tc>
        <w:tc>
          <w:tcPr>
            <w:tcW w:w="7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69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比选申请人202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年至今每承担过一个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类似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项目得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分，最多得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分。</w:t>
            </w:r>
          </w:p>
        </w:tc>
      </w:tr>
    </w:tbl>
    <w:p w14:paraId="595A5AEB">
      <w:pPr>
        <w:rPr>
          <w:color w:val="auto"/>
          <w:highlight w:val="none"/>
        </w:rPr>
      </w:pPr>
    </w:p>
    <w:p w14:paraId="3877CAFA"/>
    <w:sectPr>
      <w:pgSz w:w="11906" w:h="16838"/>
      <w:pgMar w:top="1440" w:right="1253" w:bottom="1440" w:left="125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1MDgzYzI2ZDM2MzkxMWNiYzlmNzM5MDg4MzMwN2QifQ=="/>
  </w:docVars>
  <w:rsids>
    <w:rsidRoot w:val="00000000"/>
    <w:rsid w:val="137A64BF"/>
    <w:rsid w:val="534268F4"/>
    <w:rsid w:val="67BD6A53"/>
    <w:rsid w:val="76E4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qFormat/>
    <w:uiPriority w:val="0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  <w:lang w:val="en-US" w:eastAsia="zh-CN" w:bidi="ar-SA"/>
    </w:rPr>
  </w:style>
  <w:style w:type="paragraph" w:styleId="3">
    <w:name w:val="Title"/>
    <w:basedOn w:val="1"/>
    <w:next w:val="1"/>
    <w:qFormat/>
    <w:uiPriority w:val="0"/>
    <w:pPr>
      <w:widowControl/>
      <w:spacing w:after="240" w:line="360" w:lineRule="auto"/>
      <w:jc w:val="center"/>
    </w:pPr>
    <w:rPr>
      <w:rFonts w:ascii="Arial" w:hAnsi="Arial"/>
      <w:b/>
      <w:smallCaps/>
      <w:kern w:val="28"/>
      <w:sz w:val="36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1113</Words>
  <Characters>1169</Characters>
  <Lines>0</Lines>
  <Paragraphs>0</Paragraphs>
  <TotalTime>2</TotalTime>
  <ScaleCrop>false</ScaleCrop>
  <LinksUpToDate>false</LinksUpToDate>
  <CharactersWithSpaces>1170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2025-09-18T09:30:00Z</dcterms:created>
  <dc:creator>Lenovo</dc:creator>
  <cp:lastModifiedBy>陈静</cp:lastModifiedBy>
  <dcterms:modified xsi:type="dcterms:W3CDTF">2026-08-27T08:55:40Z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402A699390CA44F7A797BE4FC645370E_12</vt:lpwstr>
  </property>
  <property fmtid="{D5CDD505-2E9C-101B-9397-08002B2CF9AE}" pid="4" name="KSOTemplateDocerSaveRecord">
    <vt:lpwstr>eyJoZGlkIjoiYTg1MDgzYzI2ZDM2MzkxMWNiYzlmNzM5MDg4MzMwN2QiLCJ1c2VySWQiOiIxNjAzODE4NDI2In0=</vt:lpwstr>
  </property>
</Properties>
</file>