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8F4AD3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jc w:val="both"/>
        <w:rPr>
          <w:rStyle w:val="11"/>
          <w:rFonts w:hint="default" w:cs="宋体"/>
          <w:b w:val="0"/>
          <w:bCs/>
          <w:i w:val="0"/>
          <w:iCs w:val="0"/>
          <w:caps w:val="0"/>
          <w:color w:val="000000" w:themeColor="text1"/>
          <w:spacing w:val="1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11"/>
          <w:rFonts w:hint="eastAsia" w:cs="宋体"/>
          <w:b w:val="0"/>
          <w:bCs/>
          <w:i w:val="0"/>
          <w:iCs w:val="0"/>
          <w:caps w:val="0"/>
          <w:color w:val="000000" w:themeColor="text1"/>
          <w:spacing w:val="1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附件2：</w:t>
      </w:r>
    </w:p>
    <w:p w14:paraId="49D69DAA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jc w:val="center"/>
        <w:rPr>
          <w:rStyle w:val="11"/>
          <w:rFonts w:hint="eastAsia" w:ascii="宋体" w:hAnsi="宋体" w:eastAsia="宋体" w:cs="宋体"/>
          <w:b/>
          <w:i w:val="0"/>
          <w:iCs w:val="0"/>
          <w:caps w:val="0"/>
          <w:color w:val="000000" w:themeColor="text1"/>
          <w:spacing w:val="1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11"/>
          <w:rFonts w:hint="eastAsia" w:cs="宋体"/>
          <w:b/>
          <w:i w:val="0"/>
          <w:iCs w:val="0"/>
          <w:caps w:val="0"/>
          <w:color w:val="000000" w:themeColor="text1"/>
          <w:spacing w:val="1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校内</w:t>
      </w:r>
      <w:r>
        <w:rPr>
          <w:rStyle w:val="11"/>
          <w:rFonts w:hint="eastAsia" w:ascii="宋体" w:hAnsi="宋体" w:eastAsia="宋体" w:cs="宋体"/>
          <w:b/>
          <w:i w:val="0"/>
          <w:iCs w:val="0"/>
          <w:caps w:val="0"/>
          <w:color w:val="000000" w:themeColor="text1"/>
          <w:spacing w:val="1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课后服务第三方非学科类培训机构</w:t>
      </w:r>
      <w:r>
        <w:rPr>
          <w:rStyle w:val="11"/>
          <w:rFonts w:hint="eastAsia" w:ascii="宋体" w:hAnsi="宋体" w:eastAsia="宋体" w:cs="宋体"/>
          <w:b/>
          <w:i w:val="0"/>
          <w:iCs w:val="0"/>
          <w:caps w:val="0"/>
          <w:color w:val="000000" w:themeColor="text1"/>
          <w:spacing w:val="1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评分细则</w:t>
      </w:r>
    </w:p>
    <w:p w14:paraId="2C7FEF4E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实质性要求审查：评审小组对各供应商进行实质性要求审查，审查通过后才能进行详细评审。</w:t>
      </w:r>
    </w:p>
    <w:tbl>
      <w:tblPr>
        <w:tblStyle w:val="9"/>
        <w:tblW w:w="89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3" w:type="dxa"/>
          <w:bottom w:w="0" w:type="dxa"/>
          <w:right w:w="28" w:type="dxa"/>
        </w:tblCellMar>
      </w:tblPr>
      <w:tblGrid>
        <w:gridCol w:w="1978"/>
        <w:gridCol w:w="6998"/>
      </w:tblGrid>
      <w:tr w14:paraId="6C84EDD0">
        <w:trPr>
          <w:cantSplit/>
          <w:trHeight w:val="23" w:hRule="atLeast"/>
          <w:jc w:val="center"/>
        </w:trPr>
        <w:tc>
          <w:tcPr>
            <w:tcW w:w="1978" w:type="dxa"/>
            <w:noWrap w:val="0"/>
            <w:vAlign w:val="center"/>
          </w:tcPr>
          <w:p w14:paraId="73737374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auto"/>
              <w:ind w:left="0" w:leftChars="0" w:right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审查内容</w:t>
            </w:r>
          </w:p>
        </w:tc>
        <w:tc>
          <w:tcPr>
            <w:tcW w:w="6998" w:type="dxa"/>
            <w:noWrap w:val="0"/>
            <w:vAlign w:val="center"/>
          </w:tcPr>
          <w:p w14:paraId="7FF0CA48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auto"/>
              <w:ind w:left="0" w:leftChars="0" w:right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审查标准</w:t>
            </w:r>
          </w:p>
        </w:tc>
      </w:tr>
      <w:tr w14:paraId="44D59AED">
        <w:trPr>
          <w:cantSplit/>
          <w:trHeight w:val="23" w:hRule="atLeast"/>
          <w:jc w:val="center"/>
        </w:trPr>
        <w:tc>
          <w:tcPr>
            <w:tcW w:w="1978" w:type="dxa"/>
            <w:noWrap w:val="0"/>
            <w:vAlign w:val="center"/>
          </w:tcPr>
          <w:p w14:paraId="5076DDF6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auto"/>
              <w:ind w:left="0" w:leftChars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资格条件</w:t>
            </w:r>
          </w:p>
        </w:tc>
        <w:tc>
          <w:tcPr>
            <w:tcW w:w="6998" w:type="dxa"/>
            <w:noWrap w:val="0"/>
            <w:vAlign w:val="center"/>
          </w:tcPr>
          <w:p w14:paraId="1AABD535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auto"/>
              <w:ind w:left="0" w:leftChars="0" w:right="0"/>
              <w:jc w:val="left"/>
              <w:rPr>
                <w:rFonts w:hint="default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资料提供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符合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4.1资格证明文件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要求</w:t>
            </w:r>
          </w:p>
        </w:tc>
      </w:tr>
      <w:tr w14:paraId="522E2DC8">
        <w:trPr>
          <w:cantSplit/>
          <w:trHeight w:val="840" w:hRule="atLeast"/>
          <w:jc w:val="center"/>
        </w:trPr>
        <w:tc>
          <w:tcPr>
            <w:tcW w:w="1978" w:type="dxa"/>
            <w:noWrap w:val="0"/>
            <w:vAlign w:val="center"/>
          </w:tcPr>
          <w:p w14:paraId="446DB0D3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auto"/>
              <w:ind w:left="0" w:leftChars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响应文件的编制</w:t>
            </w:r>
          </w:p>
        </w:tc>
        <w:tc>
          <w:tcPr>
            <w:tcW w:w="6998" w:type="dxa"/>
            <w:noWrap w:val="0"/>
            <w:vAlign w:val="center"/>
          </w:tcPr>
          <w:p w14:paraId="08628B65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auto"/>
              <w:ind w:left="0" w:leftChars="0" w:right="0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符合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材料提交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的要求。</w:t>
            </w:r>
          </w:p>
        </w:tc>
      </w:tr>
      <w:tr w14:paraId="56AAC14E">
        <w:trPr>
          <w:cantSplit/>
          <w:trHeight w:val="90" w:hRule="atLeast"/>
          <w:jc w:val="center"/>
        </w:trPr>
        <w:tc>
          <w:tcPr>
            <w:tcW w:w="1978" w:type="dxa"/>
            <w:noWrap w:val="0"/>
            <w:vAlign w:val="center"/>
          </w:tcPr>
          <w:p w14:paraId="44106B5C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auto"/>
              <w:ind w:left="0" w:leftChars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其它实质性要求</w:t>
            </w:r>
          </w:p>
        </w:tc>
        <w:tc>
          <w:tcPr>
            <w:tcW w:w="6998" w:type="dxa"/>
            <w:noWrap w:val="0"/>
            <w:vAlign w:val="center"/>
          </w:tcPr>
          <w:p w14:paraId="693DF1C7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auto"/>
              <w:ind w:left="0" w:leftChars="0" w:right="0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响应文件未含有采购人不能接受的附加条件；</w:t>
            </w:r>
          </w:p>
          <w:p w14:paraId="4AA8C7AD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auto"/>
              <w:ind w:left="0" w:leftChars="0" w:right="0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无法律、法规和竞争性磋商文件规定的其他无效情形。</w:t>
            </w:r>
          </w:p>
        </w:tc>
      </w:tr>
      <w:tr w14:paraId="31D32B27">
        <w:trPr>
          <w:cantSplit/>
          <w:trHeight w:val="2481" w:hRule="atLeast"/>
          <w:jc w:val="center"/>
        </w:trPr>
        <w:tc>
          <w:tcPr>
            <w:tcW w:w="1978" w:type="dxa"/>
            <w:noWrap w:val="0"/>
            <w:vAlign w:val="center"/>
          </w:tcPr>
          <w:p w14:paraId="023627BC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auto"/>
              <w:ind w:left="0" w:leftChars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无串通投标情形</w:t>
            </w:r>
          </w:p>
          <w:p w14:paraId="621893F1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auto"/>
              <w:ind w:left="0" w:leftChars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98" w:type="dxa"/>
            <w:noWrap w:val="0"/>
            <w:vAlign w:val="center"/>
          </w:tcPr>
          <w:p w14:paraId="3EEBE2A1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auto"/>
              <w:ind w:left="0" w:leftChars="0" w:right="0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(1)不同供应商的响应文件由同一单位或者个人编制；</w:t>
            </w:r>
          </w:p>
          <w:p w14:paraId="518909BC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auto"/>
              <w:ind w:left="0" w:leftChars="0" w:right="0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(2)不同供应商委托同一单位或者个人办理投标事宜；</w:t>
            </w:r>
          </w:p>
          <w:p w14:paraId="0E1C752B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auto"/>
              <w:ind w:left="0" w:leftChars="0" w:right="0"/>
              <w:rPr>
                <w:rFonts w:hint="eastAsia" w:ascii="仿宋" w:hAnsi="仿宋" w:eastAsia="仿宋" w:cs="仿宋"/>
                <w:color w:val="000000" w:themeColor="text1"/>
                <w:spacing w:val="-6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(3)不同供应商的响应文件载明的项目管理成员或者联系人员为同一人；</w:t>
            </w:r>
          </w:p>
          <w:p w14:paraId="1273F488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auto"/>
              <w:ind w:left="0" w:leftChars="0" w:right="0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(4)不同供应商的响应文件异常一致或者磋商报价呈规律性差异；</w:t>
            </w:r>
          </w:p>
          <w:p w14:paraId="36948EE5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auto"/>
              <w:ind w:left="0" w:leftChars="0" w:right="0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(5)不同供应商的响应文件相互混装；</w:t>
            </w:r>
          </w:p>
          <w:p w14:paraId="3CEA007B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auto"/>
              <w:ind w:left="0" w:leftChars="0" w:right="0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(6)不同供应商的磋商保证金从同一单位或者个人的账户转出。</w:t>
            </w:r>
          </w:p>
        </w:tc>
      </w:tr>
    </w:tbl>
    <w:p w14:paraId="723C6FC9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jc w:val="left"/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785D4F5B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jc w:val="left"/>
        <w:rPr>
          <w:rStyle w:val="11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详细评审标准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</w:p>
    <w:tbl>
      <w:tblPr>
        <w:tblStyle w:val="9"/>
        <w:tblW w:w="9560" w:type="dxa"/>
        <w:tblInd w:w="-3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2"/>
        <w:gridCol w:w="2271"/>
        <w:gridCol w:w="4063"/>
        <w:gridCol w:w="1304"/>
        <w:gridCol w:w="1400"/>
      </w:tblGrid>
      <w:tr w14:paraId="4FEF5E1A">
        <w:trPr>
          <w:trHeight w:val="1386" w:hRule="atLeast"/>
        </w:trPr>
        <w:tc>
          <w:tcPr>
            <w:tcW w:w="52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1D65EE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27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B8F250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评分内容</w:t>
            </w:r>
          </w:p>
        </w:tc>
        <w:tc>
          <w:tcPr>
            <w:tcW w:w="406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8B062E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评分标准</w:t>
            </w:r>
          </w:p>
        </w:tc>
        <w:tc>
          <w:tcPr>
            <w:tcW w:w="130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82799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  <w:tc>
          <w:tcPr>
            <w:tcW w:w="140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1CDD43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67F1C6D">
        <w:trPr>
          <w:trHeight w:val="1919" w:hRule="atLeast"/>
        </w:trPr>
        <w:tc>
          <w:tcPr>
            <w:tcW w:w="52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D4E28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Style w:val="11"/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27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87989E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Style w:val="11"/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报价</w:t>
            </w:r>
          </w:p>
          <w:p w14:paraId="36F27C6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Style w:val="11"/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〔满分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分〕</w:t>
            </w:r>
          </w:p>
        </w:tc>
        <w:tc>
          <w:tcPr>
            <w:tcW w:w="406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19EC8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righ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0" w:name="_Toc28305"/>
            <w:bookmarkStart w:id="1" w:name="_Toc31277"/>
            <w:bookmarkStart w:id="2" w:name="_Toc32183"/>
            <w:bookmarkStart w:id="3" w:name="_Toc6674"/>
            <w:bookmarkStart w:id="4" w:name="_Toc7824"/>
            <w:bookmarkStart w:id="5" w:name="_Toc32257"/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满足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遴选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要求且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最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低的报价为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遴选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基准价。其价格得分为满分。其他供应商的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遴选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报价得分＝（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遴选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基准价/该供应商的报价）×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。</w:t>
            </w:r>
            <w:bookmarkEnd w:id="0"/>
            <w:bookmarkEnd w:id="1"/>
            <w:bookmarkEnd w:id="2"/>
            <w:bookmarkEnd w:id="3"/>
            <w:bookmarkEnd w:id="4"/>
            <w:bookmarkEnd w:id="5"/>
          </w:p>
          <w:p w14:paraId="35818EF2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Style w:val="11"/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92B0A4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Style w:val="11"/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71938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Style w:val="11"/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7B2695">
        <w:trPr>
          <w:trHeight w:val="1386" w:hRule="atLeast"/>
        </w:trPr>
        <w:tc>
          <w:tcPr>
            <w:tcW w:w="522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9AC9E2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271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2F6C23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演说推介</w:t>
            </w:r>
            <w:r>
              <w:rPr>
                <w:rStyle w:val="11"/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〔满分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分〕</w:t>
            </w:r>
          </w:p>
        </w:tc>
        <w:tc>
          <w:tcPr>
            <w:tcW w:w="406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43269E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一档：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准备不充分，内容条理不清，表达缺乏逻辑性。</w:t>
            </w:r>
          </w:p>
          <w:p w14:paraId="5B1470C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1—5分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304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D3FC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0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FD848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C6C910">
        <w:trPr>
          <w:trHeight w:val="1386" w:hRule="atLeast"/>
        </w:trPr>
        <w:tc>
          <w:tcPr>
            <w:tcW w:w="522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89607D"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1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AF1920"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6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7CBD6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二档：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演说流畅，内容具体，条理清晰，基本展现机构优势。</w:t>
            </w:r>
          </w:p>
          <w:p w14:paraId="3050BAF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6—10分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304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FD25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0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4D537D"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6A85E7">
        <w:trPr>
          <w:trHeight w:val="1386" w:hRule="atLeast"/>
        </w:trPr>
        <w:tc>
          <w:tcPr>
            <w:tcW w:w="522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60C043"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1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C9A9CC"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6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B6EACE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三档：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思路清晰，理解深刻，重点突出，表达专业，展现较强综合能力。</w:t>
            </w:r>
          </w:p>
          <w:p w14:paraId="3B9B224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11—15分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304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4AC0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0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EC1165D"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CB43AB">
        <w:trPr>
          <w:trHeight w:val="1386" w:hRule="atLeast"/>
        </w:trPr>
        <w:tc>
          <w:tcPr>
            <w:tcW w:w="522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E9332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271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F2C13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服务方案</w:t>
            </w:r>
            <w:r>
              <w:rPr>
                <w:rStyle w:val="11"/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（满分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0分）</w:t>
            </w:r>
          </w:p>
        </w:tc>
        <w:tc>
          <w:tcPr>
            <w:tcW w:w="406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4A3E9E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一档：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对课后服务认识不足，表述不清晰或不完整，课程内容与资源配置不能满足服务要求。（1—15分）</w:t>
            </w:r>
          </w:p>
        </w:tc>
        <w:tc>
          <w:tcPr>
            <w:tcW w:w="1304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4206D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0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B0E6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B26DE8">
        <w:trPr>
          <w:trHeight w:val="1386" w:hRule="atLeast"/>
        </w:trPr>
        <w:tc>
          <w:tcPr>
            <w:tcW w:w="522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E6C193"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1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7E351C"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6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D59BD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二档：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对课后服务有正确理解，表述清晰完整，课程与资源配置基本满足服务要求。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16—30分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304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9560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0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D16AE1"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91636C">
        <w:trPr>
          <w:trHeight w:val="1386" w:hRule="atLeast"/>
        </w:trPr>
        <w:tc>
          <w:tcPr>
            <w:tcW w:w="522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EECC87"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1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3414D3"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6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53302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三档：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对课后服务有深刻理解，方案严谨、细致、可行，课程体系完整，资源配置充分，能够以较大优势完全满足服务要求。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31—40分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304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07A5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0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2D3F87"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0B1364">
        <w:trPr>
          <w:trHeight w:val="1386" w:hRule="atLeast"/>
        </w:trPr>
        <w:tc>
          <w:tcPr>
            <w:tcW w:w="522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BB4302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271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69C66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管理流程</w:t>
            </w:r>
            <w:r>
              <w:rPr>
                <w:rStyle w:val="11"/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（满分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406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BA614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一档：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管理流程存在明显缺陷，或关键环节设计缺失，缺乏风险防范机制，可行性较差。</w:t>
            </w:r>
          </w:p>
          <w:p w14:paraId="36A3398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1—7分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304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AC4F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0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8936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D3BFBB">
        <w:trPr>
          <w:trHeight w:val="1386" w:hRule="atLeast"/>
        </w:trPr>
        <w:tc>
          <w:tcPr>
            <w:tcW w:w="522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0C70EB1"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1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1754B73"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6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1FCB4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二档：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管理流程基本科学合理，涵盖主要环节，具备基本风险防范措施，但细节设计或可操作性存在不足。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8—14分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304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6F0D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0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395E8E"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E49917">
        <w:trPr>
          <w:trHeight w:val="1386" w:hRule="atLeast"/>
        </w:trPr>
        <w:tc>
          <w:tcPr>
            <w:tcW w:w="522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C06B22"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1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891A0D"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6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762E9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三档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管理流程科学严谨、完整清晰，各环节衔接顺畅，职责明确，风险防范机制有效，可操作性强，能够有效保障课后服务的高质量稳定运行。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15—20分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304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0E972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0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521900"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E38AF1">
        <w:trPr>
          <w:trHeight w:val="1386" w:hRule="atLeast"/>
        </w:trPr>
        <w:tc>
          <w:tcPr>
            <w:tcW w:w="522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663D3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271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99DAC3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拟投入校内课后服务人员方案</w:t>
            </w:r>
            <w:r>
              <w:rPr>
                <w:rStyle w:val="11"/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Style w:val="11"/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   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（满分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406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5FA31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一档：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方案不具体，人员配备、职责分工、培训管理等不清晰，不能很好满足课后服务要求。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1—3分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304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3599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0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A936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AD23E1">
        <w:trPr>
          <w:trHeight w:val="1386" w:hRule="atLeast"/>
        </w:trPr>
        <w:tc>
          <w:tcPr>
            <w:tcW w:w="522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76DEB9"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1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9615A2"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6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2B382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档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方案基本完整，人员配备与职责分工基本合理，基本满足课后服务要求。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4—6分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304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4A6A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0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4B737C"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9A5BAC">
        <w:trPr>
          <w:trHeight w:val="1386" w:hRule="atLeast"/>
        </w:trPr>
        <w:tc>
          <w:tcPr>
            <w:tcW w:w="522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332483"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1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7C0A24F"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6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9B881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三档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方案具体完整，人员配备充足、职责明确、培训与考核机制健全，完全满足课后服务要求。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7—10</w:t>
            </w:r>
            <w:bookmarkStart w:id="6" w:name="_GoBack"/>
            <w:bookmarkEnd w:id="6"/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304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AAF2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0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380954"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4AAC57">
        <w:trPr>
          <w:trHeight w:val="1256" w:hRule="atLeast"/>
        </w:trPr>
        <w:tc>
          <w:tcPr>
            <w:tcW w:w="52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6828F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27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E8A540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服务经验</w:t>
            </w:r>
            <w:r>
              <w:rPr>
                <w:rStyle w:val="11"/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Style w:val="11"/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  （满分</w:t>
            </w:r>
            <w:r>
              <w:rPr>
                <w:rStyle w:val="11"/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Style w:val="11"/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406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9458F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近三年具备校内课后服务实际经验，每提供1份与学校或教育主管部门签订的有效服务合同得1分，最高不超过5分。</w:t>
            </w:r>
          </w:p>
        </w:tc>
        <w:tc>
          <w:tcPr>
            <w:tcW w:w="130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E057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BF9C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23D48B1">
      <w:pPr>
        <w:tabs>
          <w:tab w:val="left" w:pos="5208"/>
        </w:tabs>
        <w:bidi w:val="0"/>
        <w:jc w:val="left"/>
        <w:rPr>
          <w:rFonts w:asciiTheme="minorHAnsi" w:hAnsiTheme="minorHAnsi" w:eastAsiaTheme="minorEastAsia" w:cstheme="minorBidi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1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15620E"/>
    <w:multiLevelType w:val="multilevel"/>
    <w:tmpl w:val="0315620E"/>
    <w:lvl w:ilvl="0" w:tentative="0">
      <w:start w:val="1"/>
      <w:numFmt w:val="decimal"/>
      <w:pStyle w:val="4"/>
      <w:lvlText w:val="%1"/>
      <w:lvlJc w:val="left"/>
      <w:pPr>
        <w:tabs>
          <w:tab w:val="left" w:pos="360"/>
        </w:tabs>
        <w:ind w:left="284" w:hanging="284"/>
      </w:pPr>
      <w:rPr>
        <w:rFonts w:hint="default" w:ascii="Times New Roman" w:hAnsi="Times New Roman"/>
        <w:b/>
        <w:i w:val="0"/>
        <w:sz w:val="28"/>
      </w:rPr>
    </w:lvl>
    <w:lvl w:ilvl="1" w:tentative="0">
      <w:start w:val="1"/>
      <w:numFmt w:val="decimal"/>
      <w:lvlText w:val="%1.%2"/>
      <w:lvlJc w:val="left"/>
      <w:pPr>
        <w:tabs>
          <w:tab w:val="left" w:pos="1021"/>
        </w:tabs>
        <w:ind w:left="1021" w:hanging="596"/>
      </w:pPr>
      <w:rPr>
        <w:rFonts w:hint="default" w:ascii="Times New Roman" w:hAnsi="Times New Roman"/>
        <w:b/>
        <w:i w:val="0"/>
        <w:sz w:val="28"/>
      </w:rPr>
    </w:lvl>
    <w:lvl w:ilvl="2" w:tentative="0">
      <w:start w:val="1"/>
      <w:numFmt w:val="decimal"/>
      <w:lvlText w:val="%1.%2.%3"/>
      <w:lvlJc w:val="left"/>
      <w:pPr>
        <w:tabs>
          <w:tab w:val="left" w:pos="1588"/>
        </w:tabs>
        <w:ind w:left="1588" w:hanging="737"/>
      </w:pPr>
      <w:rPr>
        <w:rFonts w:hint="default" w:ascii="Times New Roman" w:hAnsi="Times New Roman"/>
        <w:b/>
        <w:i w:val="0"/>
        <w:sz w:val="24"/>
      </w:rPr>
    </w:lvl>
    <w:lvl w:ilvl="3" w:tentative="0">
      <w:start w:val="1"/>
      <w:numFmt w:val="decimal"/>
      <w:lvlText w:val="%1.%2.%3.%4"/>
      <w:lvlJc w:val="left"/>
      <w:pPr>
        <w:tabs>
          <w:tab w:val="left" w:pos="2155"/>
        </w:tabs>
        <w:ind w:left="2155" w:hanging="1078"/>
      </w:pPr>
      <w:rPr>
        <w:rFonts w:hint="default" w:ascii="Arial" w:hAnsi="Arial"/>
        <w:b w:val="0"/>
        <w:i w:val="0"/>
        <w:sz w:val="24"/>
      </w:rPr>
    </w:lvl>
    <w:lvl w:ilvl="4" w:tentative="0">
      <w:start w:val="1"/>
      <w:numFmt w:val="decimal"/>
      <w:lvlText w:val="%1.%2.%3.%4.%5"/>
      <w:lvlJc w:val="left"/>
      <w:pPr>
        <w:tabs>
          <w:tab w:val="left" w:pos="3141"/>
        </w:tabs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566"/>
        </w:tabs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4351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5136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562"/>
        </w:tabs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1MDgzYzI2ZDM2MzkxMWNiYzlmNzM5MDg4MzMwN2QifQ=="/>
  </w:docVars>
  <w:rsids>
    <w:rsidRoot w:val="40382549"/>
    <w:rsid w:val="1FCB5ECA"/>
    <w:rsid w:val="309D477F"/>
    <w:rsid w:val="31573795"/>
    <w:rsid w:val="34FE5F1F"/>
    <w:rsid w:val="3FCDA2B1"/>
    <w:rsid w:val="3FFF1108"/>
    <w:rsid w:val="40382549"/>
    <w:rsid w:val="46E8575E"/>
    <w:rsid w:val="4DFE945F"/>
    <w:rsid w:val="4FF1A442"/>
    <w:rsid w:val="57DFF117"/>
    <w:rsid w:val="5BCF79B7"/>
    <w:rsid w:val="5FE97E93"/>
    <w:rsid w:val="5FEF00D0"/>
    <w:rsid w:val="638F708E"/>
    <w:rsid w:val="667D6264"/>
    <w:rsid w:val="677B6FDC"/>
    <w:rsid w:val="6CFECFFE"/>
    <w:rsid w:val="6DFFA3FD"/>
    <w:rsid w:val="6F1D8BD7"/>
    <w:rsid w:val="6FD7837B"/>
    <w:rsid w:val="73B96A23"/>
    <w:rsid w:val="77080A90"/>
    <w:rsid w:val="7E5F6F17"/>
    <w:rsid w:val="7F3A39C7"/>
    <w:rsid w:val="7FCFE492"/>
    <w:rsid w:val="917D4AEF"/>
    <w:rsid w:val="AF979D43"/>
    <w:rsid w:val="B3BACACE"/>
    <w:rsid w:val="BBC78A9A"/>
    <w:rsid w:val="BFA50093"/>
    <w:rsid w:val="D6E33D60"/>
    <w:rsid w:val="DAFD4DBD"/>
    <w:rsid w:val="DFD3C5FA"/>
    <w:rsid w:val="EFE7452E"/>
    <w:rsid w:val="EFFF3DA4"/>
    <w:rsid w:val="F677FD1E"/>
    <w:rsid w:val="F7DB6DBD"/>
    <w:rsid w:val="F7EE6768"/>
    <w:rsid w:val="FBBF3F49"/>
    <w:rsid w:val="FBE9E19E"/>
    <w:rsid w:val="FBFB6CCB"/>
    <w:rsid w:val="FDAFCB21"/>
    <w:rsid w:val="FDFC403F"/>
    <w:rsid w:val="FFDDB6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numPr>
        <w:ilvl w:val="0"/>
        <w:numId w:val="1"/>
      </w:numPr>
      <w:autoSpaceDE w:val="0"/>
      <w:autoSpaceDN w:val="0"/>
      <w:adjustRightInd w:val="0"/>
      <w:jc w:val="left"/>
      <w:outlineLvl w:val="0"/>
    </w:pPr>
    <w:rPr>
      <w:rFonts w:ascii="仿宋_GB2312" w:eastAsia="仿宋_GB2312"/>
      <w:b/>
      <w:bCs/>
      <w:color w:val="000000"/>
      <w:kern w:val="0"/>
      <w:sz w:val="28"/>
      <w:szCs w:val="20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3"/>
    <w:qFormat/>
    <w:uiPriority w:val="0"/>
    <w:pPr>
      <w:autoSpaceDE w:val="0"/>
      <w:autoSpaceDN w:val="0"/>
    </w:pPr>
    <w:rPr>
      <w:rFonts w:ascii="宋体" w:hAnsi="Times New Roman" w:cs="宋体"/>
      <w:color w:val="000000"/>
      <w:sz w:val="24"/>
      <w:szCs w:val="24"/>
    </w:rPr>
  </w:style>
  <w:style w:type="paragraph" w:styleId="3">
    <w:name w:val="Title"/>
    <w:basedOn w:val="1"/>
    <w:next w:val="1"/>
    <w:qFormat/>
    <w:uiPriority w:val="0"/>
    <w:pPr>
      <w:adjustRightInd w:val="0"/>
      <w:spacing w:line="360" w:lineRule="atLeast"/>
      <w:jc w:val="center"/>
      <w:textAlignment w:val="baseline"/>
      <w:outlineLvl w:val="0"/>
    </w:pPr>
    <w:rPr>
      <w:rFonts w:ascii="Arial" w:hAnsi="Arial" w:cs="Arial"/>
      <w:b/>
      <w:bCs/>
      <w:kern w:val="0"/>
      <w:sz w:val="32"/>
      <w:szCs w:val="32"/>
    </w:rPr>
  </w:style>
  <w:style w:type="paragraph" w:styleId="5">
    <w:name w:val="annotation text"/>
    <w:basedOn w:val="1"/>
    <w:uiPriority w:val="0"/>
    <w:pPr>
      <w:jc w:val="left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971</Words>
  <Characters>996</Characters>
  <Lines>0</Lines>
  <Paragraphs>0</Paragraphs>
  <TotalTime>7</TotalTime>
  <ScaleCrop>false</ScaleCrop>
  <LinksUpToDate>false</LinksUpToDate>
  <CharactersWithSpaces>997</CharactersWithSpaces>
  <Application>WPS Office_7.5.1.8994_F1E327BC-269C-435d-A152-05C5408002CA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2024-09-11T15:56:00Z</dcterms:created>
  <dc:creator>曹茜</dc:creator>
  <cp:lastModifiedBy>吴文钰</cp:lastModifiedBy>
  <dcterms:modified xsi:type="dcterms:W3CDTF">2026-09-05T10:45:20Z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2052-7.5.1.8994</vt:lpwstr>
  </property>
  <property fmtid="{D5CDD505-2E9C-101B-9397-08002B2CF9AE}" pid="3" name="ICV">
    <vt:lpwstr>D15531B9C4331733539E9A6ABA67FA14_43</vt:lpwstr>
  </property>
  <property fmtid="{D5CDD505-2E9C-101B-9397-08002B2CF9AE}" pid="4" name="KSOTemplateDocerSaveRecord">
    <vt:lpwstr>eyJoZGlkIjoiYjUwZTFlYzFhMGRmNjM5ZjJmM2U1MzQ1ODI2ZmMwMTIiLCJ1c2VySWQiOiIzMzU5MDA0OTEifQ==</vt:lpwstr>
  </property>
</Properties>
</file>