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BD559">
      <w:pPr>
        <w:jc w:val="center"/>
        <w:outlineLvl w:val="0"/>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sz w:val="36"/>
          <w:lang w:val="zh-CN"/>
        </w:rPr>
        <w:t>云南师范大学附属世纪金源学校</w:t>
      </w:r>
      <w:r>
        <w:rPr>
          <w:rFonts w:hint="eastAsia" w:ascii="方正小标宋简体" w:hAnsi="方正小标宋简体" w:eastAsia="方正小标宋简体" w:cs="方正小标宋简体"/>
          <w:sz w:val="36"/>
          <w:szCs w:val="36"/>
          <w:highlight w:val="none"/>
          <w:lang w:val="en-US" w:eastAsia="zh-CN"/>
        </w:rPr>
        <w:t>2025年度</w:t>
      </w:r>
      <w:r>
        <w:rPr>
          <w:rFonts w:hint="eastAsia" w:ascii="方正小标宋简体" w:hAnsi="方正小标宋简体" w:eastAsia="方正小标宋简体" w:cs="方正小标宋简体"/>
          <w:sz w:val="36"/>
          <w:szCs w:val="36"/>
          <w:highlight w:val="none"/>
        </w:rPr>
        <w:t>部门决算</w:t>
      </w:r>
    </w:p>
    <w:p w14:paraId="207F8F23">
      <w:pPr>
        <w:jc w:val="center"/>
        <w:rPr>
          <w:rFonts w:hint="eastAsia" w:ascii="方正小标宋简体" w:hAnsi="方正小标宋简体" w:eastAsia="方正小标宋简体" w:cs="方正小标宋简体"/>
          <w:sz w:val="36"/>
          <w:szCs w:val="36"/>
          <w:highlight w:val="none"/>
        </w:rPr>
      </w:pPr>
    </w:p>
    <w:p w14:paraId="04F15648">
      <w:pPr>
        <w:jc w:val="center"/>
        <w:outlineLvl w:val="0"/>
        <w:rPr>
          <w:rFonts w:hint="eastAsia" w:ascii="方正小标宋简体" w:hAnsi="方正小标宋简体" w:eastAsia="方正小标宋简体" w:cs="方正小标宋简体"/>
          <w:sz w:val="36"/>
          <w:szCs w:val="36"/>
          <w:highlight w:val="none"/>
          <w:lang w:eastAsia="zh-CN"/>
        </w:rPr>
      </w:pPr>
      <w:r>
        <w:rPr>
          <w:rFonts w:hint="eastAsia" w:ascii="方正小标宋简体" w:hAnsi="方正小标宋简体" w:eastAsia="方正小标宋简体" w:cs="方正小标宋简体"/>
          <w:sz w:val="36"/>
          <w:szCs w:val="36"/>
          <w:highlight w:val="none"/>
          <w:lang w:eastAsia="zh-CN"/>
        </w:rPr>
        <w:t>目录</w:t>
      </w:r>
    </w:p>
    <w:p w14:paraId="11982C0F">
      <w:pPr>
        <w:jc w:val="left"/>
        <w:rPr>
          <w:rFonts w:hint="eastAsia" w:ascii="黑体" w:hAnsi="黑体" w:eastAsia="黑体"/>
          <w:sz w:val="30"/>
          <w:szCs w:val="30"/>
          <w:highlight w:val="none"/>
        </w:rPr>
      </w:pPr>
    </w:p>
    <w:p w14:paraId="2A62D8EC">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第一部分  </w:t>
      </w:r>
      <w:r>
        <w:rPr>
          <w:rFonts w:hint="eastAsia" w:ascii="黑体" w:hAnsi="黑体" w:eastAsia="黑体"/>
          <w:sz w:val="30"/>
          <w:szCs w:val="30"/>
          <w:highlight w:val="none"/>
          <w:lang w:eastAsia="zh-CN"/>
        </w:rPr>
        <w:t>单位</w:t>
      </w:r>
      <w:r>
        <w:rPr>
          <w:rFonts w:hint="eastAsia" w:ascii="黑体" w:hAnsi="黑体" w:eastAsia="黑体"/>
          <w:sz w:val="30"/>
          <w:szCs w:val="30"/>
          <w:highlight w:val="none"/>
        </w:rPr>
        <w:t>概况</w:t>
      </w:r>
    </w:p>
    <w:p w14:paraId="046E073B">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一、主要职</w:t>
      </w:r>
      <w:r>
        <w:rPr>
          <w:rFonts w:hint="eastAsia" w:ascii="楷体" w:hAnsi="楷体" w:eastAsia="楷体"/>
          <w:sz w:val="30"/>
          <w:szCs w:val="30"/>
          <w:highlight w:val="none"/>
          <w:lang w:eastAsia="zh-CN"/>
        </w:rPr>
        <w:t>责</w:t>
      </w:r>
    </w:p>
    <w:p w14:paraId="58B29524">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二、</w:t>
      </w:r>
      <w:r>
        <w:rPr>
          <w:rFonts w:hint="eastAsia" w:ascii="楷体" w:hAnsi="楷体" w:eastAsia="楷体"/>
          <w:sz w:val="30"/>
          <w:szCs w:val="30"/>
          <w:highlight w:val="none"/>
          <w:lang w:eastAsia="zh-CN"/>
        </w:rPr>
        <w:t>基本情况</w:t>
      </w:r>
    </w:p>
    <w:p w14:paraId="5948B7BE">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三、重点工作概述</w:t>
      </w:r>
    </w:p>
    <w:p w14:paraId="51F52BEA">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第二部分  </w:t>
      </w:r>
      <w:r>
        <w:rPr>
          <w:rFonts w:hint="eastAsia" w:ascii="黑体" w:hAnsi="黑体" w:eastAsia="黑体"/>
          <w:sz w:val="30"/>
          <w:szCs w:val="30"/>
          <w:highlight w:val="none"/>
          <w:lang w:val="en-US" w:eastAsia="zh-CN"/>
        </w:rPr>
        <w:t>2025年度</w:t>
      </w:r>
      <w:r>
        <w:rPr>
          <w:rFonts w:hint="eastAsia" w:ascii="黑体" w:hAnsi="黑体" w:eastAsia="黑体"/>
          <w:sz w:val="30"/>
          <w:szCs w:val="30"/>
          <w:highlight w:val="none"/>
        </w:rPr>
        <w:t>部门决算表</w:t>
      </w:r>
    </w:p>
    <w:p w14:paraId="720CE30B">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一、收入支出决算表</w:t>
      </w:r>
    </w:p>
    <w:p w14:paraId="00320D9C">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二、收入决算表</w:t>
      </w:r>
    </w:p>
    <w:p w14:paraId="3880B2BD">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三、支出决算表</w:t>
      </w:r>
    </w:p>
    <w:p w14:paraId="157BBB00">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四、财政拨款收入支出决算表</w:t>
      </w:r>
    </w:p>
    <w:p w14:paraId="24B671FA">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五、一般公共预算财政拨款收入支出决算表</w:t>
      </w:r>
    </w:p>
    <w:p w14:paraId="78D314AC">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六、一般公共预算财政拨款基本支出决算表</w:t>
      </w:r>
    </w:p>
    <w:p w14:paraId="72723821">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七、</w:t>
      </w:r>
      <w:r>
        <w:rPr>
          <w:rFonts w:hint="eastAsia" w:ascii="楷体" w:hAnsi="楷体" w:eastAsia="楷体"/>
          <w:sz w:val="30"/>
          <w:szCs w:val="30"/>
          <w:highlight w:val="none"/>
          <w:lang w:eastAsia="zh-CN"/>
        </w:rPr>
        <w:t>一般公共预算财政拨款项目支出决算表</w:t>
      </w:r>
    </w:p>
    <w:p w14:paraId="5C5F7E60">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八</w:t>
      </w:r>
      <w:r>
        <w:rPr>
          <w:rFonts w:hint="eastAsia" w:ascii="楷体" w:hAnsi="楷体" w:eastAsia="楷体"/>
          <w:sz w:val="30"/>
          <w:szCs w:val="30"/>
          <w:highlight w:val="none"/>
        </w:rPr>
        <w:t>、政府性基金预算财政拨款收入支出决算表</w:t>
      </w:r>
    </w:p>
    <w:p w14:paraId="2DC0869C">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九、国有资本经营预算财政拨款收入支出决算表</w:t>
      </w:r>
    </w:p>
    <w:p w14:paraId="6D4C5D8A">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十</w:t>
      </w:r>
      <w:r>
        <w:rPr>
          <w:rFonts w:hint="eastAsia" w:ascii="楷体" w:hAnsi="楷体" w:eastAsia="楷体"/>
          <w:sz w:val="30"/>
          <w:szCs w:val="30"/>
          <w:highlight w:val="none"/>
        </w:rPr>
        <w:t>、</w:t>
      </w:r>
      <w:r>
        <w:rPr>
          <w:rFonts w:hint="eastAsia" w:ascii="楷体" w:hAnsi="楷体" w:eastAsia="楷体"/>
          <w:sz w:val="30"/>
          <w:szCs w:val="30"/>
          <w:highlight w:val="none"/>
          <w:lang w:eastAsia="zh-CN"/>
        </w:rPr>
        <w:t>财政拨款</w:t>
      </w:r>
      <w:r>
        <w:rPr>
          <w:rFonts w:hint="eastAsia" w:ascii="楷体" w:hAnsi="楷体" w:eastAsia="楷体"/>
          <w:sz w:val="30"/>
          <w:szCs w:val="30"/>
          <w:highlight w:val="none"/>
        </w:rPr>
        <w:t>“三公”经费、行政参公单位机关运行经费情况表</w:t>
      </w:r>
    </w:p>
    <w:p w14:paraId="335511A4">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val="en-US" w:eastAsia="zh-CN"/>
        </w:rPr>
        <w:t>十一、一般公共预算财政拨款“三公”经费情况表</w:t>
      </w:r>
    </w:p>
    <w:p w14:paraId="293834BE">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第三部</w:t>
      </w:r>
      <w:r>
        <w:rPr>
          <w:rFonts w:hint="eastAsia" w:ascii="黑体" w:hAnsi="黑体" w:eastAsia="黑体"/>
          <w:sz w:val="30"/>
          <w:szCs w:val="30"/>
          <w:highlight w:val="none"/>
          <w:lang w:eastAsia="zh-CN"/>
        </w:rPr>
        <w:t>分</w:t>
      </w:r>
      <w:r>
        <w:rPr>
          <w:rFonts w:hint="eastAsia" w:ascii="黑体" w:hAnsi="黑体" w:eastAsia="黑体"/>
          <w:sz w:val="30"/>
          <w:szCs w:val="30"/>
          <w:highlight w:val="none"/>
        </w:rPr>
        <w:t xml:space="preserve">  </w:t>
      </w:r>
      <w:r>
        <w:rPr>
          <w:rFonts w:hint="eastAsia" w:ascii="黑体" w:hAnsi="黑体" w:eastAsia="黑体"/>
          <w:sz w:val="30"/>
          <w:szCs w:val="30"/>
          <w:highlight w:val="none"/>
          <w:lang w:val="en-US" w:eastAsia="zh-CN"/>
        </w:rPr>
        <w:t>2025年度</w:t>
      </w:r>
      <w:r>
        <w:rPr>
          <w:rFonts w:hint="eastAsia" w:ascii="黑体" w:hAnsi="黑体" w:eastAsia="黑体"/>
          <w:sz w:val="30"/>
          <w:szCs w:val="30"/>
          <w:highlight w:val="none"/>
        </w:rPr>
        <w:t>部门决算情况说明</w:t>
      </w:r>
    </w:p>
    <w:p w14:paraId="7A03B0A9">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一、收入决算情况说明</w:t>
      </w:r>
    </w:p>
    <w:p w14:paraId="576C5939">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二、支出决算情况说明</w:t>
      </w:r>
    </w:p>
    <w:p w14:paraId="30AF396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三、一般公共预算财政拨款支出决算情况说明</w:t>
      </w:r>
    </w:p>
    <w:p w14:paraId="6E55CE92">
      <w:pPr>
        <w:widowControl/>
        <w:snapToGrid w:val="0"/>
        <w:spacing w:before="100" w:after="100" w:line="360" w:lineRule="auto"/>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四、财政拨款“三公”经费支出决算情况说明</w:t>
      </w:r>
    </w:p>
    <w:p w14:paraId="07135520">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lang w:eastAsia="zh-CN"/>
        </w:rPr>
        <w:t>第四部分</w:t>
      </w:r>
      <w:r>
        <w:rPr>
          <w:rFonts w:hint="eastAsia" w:ascii="楷体" w:hAnsi="楷体" w:eastAsia="楷体"/>
          <w:sz w:val="30"/>
          <w:szCs w:val="30"/>
          <w:highlight w:val="none"/>
          <w:lang w:val="en-US" w:eastAsia="zh-CN"/>
        </w:rPr>
        <w:t xml:space="preserve">  </w:t>
      </w:r>
      <w:r>
        <w:rPr>
          <w:rFonts w:hint="eastAsia" w:ascii="黑体" w:hAnsi="黑体" w:eastAsia="黑体"/>
          <w:sz w:val="30"/>
          <w:szCs w:val="30"/>
          <w:highlight w:val="none"/>
        </w:rPr>
        <w:t>其他重要事项及相关口径情况说明</w:t>
      </w:r>
    </w:p>
    <w:p w14:paraId="0FC19999">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w:t>
      </w:r>
      <w:r>
        <w:rPr>
          <w:rFonts w:hint="eastAsia" w:ascii="楷体" w:hAnsi="楷体" w:eastAsia="楷体"/>
          <w:sz w:val="30"/>
          <w:szCs w:val="30"/>
          <w:highlight w:val="none"/>
        </w:rPr>
        <w:t>机关运行经费支出情况</w:t>
      </w:r>
    </w:p>
    <w:p w14:paraId="4455DFE1">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国有资产占用情况</w:t>
      </w:r>
    </w:p>
    <w:p w14:paraId="2CB05299">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w:t>
      </w:r>
      <w:r>
        <w:rPr>
          <w:rFonts w:hint="eastAsia" w:ascii="楷体" w:hAnsi="楷体" w:eastAsia="楷体"/>
          <w:sz w:val="30"/>
          <w:szCs w:val="30"/>
          <w:highlight w:val="none"/>
        </w:rPr>
        <w:t>政府采购支出情况</w:t>
      </w:r>
    </w:p>
    <w:p w14:paraId="47786503">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四、</w:t>
      </w:r>
      <w:r>
        <w:rPr>
          <w:rFonts w:hint="eastAsia" w:ascii="楷体" w:hAnsi="楷体" w:eastAsia="楷体"/>
          <w:sz w:val="30"/>
          <w:szCs w:val="30"/>
          <w:highlight w:val="none"/>
          <w:lang w:val="en-US" w:eastAsia="zh-CN"/>
        </w:rPr>
        <w:t>单位绩效自评情况</w:t>
      </w:r>
    </w:p>
    <w:p w14:paraId="0F818849">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五、</w:t>
      </w:r>
      <w:r>
        <w:rPr>
          <w:rFonts w:hint="eastAsia" w:ascii="楷体" w:hAnsi="楷体" w:eastAsia="楷体"/>
          <w:sz w:val="30"/>
          <w:szCs w:val="30"/>
          <w:highlight w:val="none"/>
          <w:lang w:val="en-US" w:eastAsia="zh-CN"/>
        </w:rPr>
        <w:t>其他重要事项情况说明</w:t>
      </w:r>
    </w:p>
    <w:p w14:paraId="28B75FAD">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六、相关口径说明</w:t>
      </w:r>
    </w:p>
    <w:p w14:paraId="5445074C">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w:t>
      </w:r>
      <w:r>
        <w:rPr>
          <w:rFonts w:hint="eastAsia" w:ascii="黑体" w:hAnsi="黑体" w:eastAsia="黑体"/>
          <w:sz w:val="30"/>
          <w:szCs w:val="30"/>
          <w:highlight w:val="none"/>
          <w:lang w:eastAsia="zh-CN"/>
        </w:rPr>
        <w:t>五</w:t>
      </w:r>
      <w:r>
        <w:rPr>
          <w:rFonts w:hint="eastAsia" w:ascii="黑体" w:hAnsi="黑体" w:eastAsia="黑体"/>
          <w:sz w:val="30"/>
          <w:szCs w:val="30"/>
          <w:highlight w:val="none"/>
        </w:rPr>
        <w:t>部分  名词解释</w:t>
      </w:r>
    </w:p>
    <w:p w14:paraId="12A83E7A">
      <w:pPr>
        <w:jc w:val="center"/>
        <w:rPr>
          <w:rFonts w:hint="eastAsia" w:ascii="黑体" w:hAnsi="黑体" w:eastAsia="黑体"/>
          <w:sz w:val="32"/>
          <w:szCs w:val="32"/>
          <w:highlight w:val="none"/>
        </w:rPr>
      </w:pPr>
    </w:p>
    <w:p w14:paraId="201A322D">
      <w:pPr>
        <w:jc w:val="center"/>
        <w:rPr>
          <w:rFonts w:hint="eastAsia" w:ascii="黑体" w:hAnsi="黑体" w:eastAsia="黑体"/>
          <w:sz w:val="32"/>
          <w:szCs w:val="32"/>
          <w:highlight w:val="none"/>
        </w:rPr>
      </w:pPr>
    </w:p>
    <w:p w14:paraId="58579A80">
      <w:pPr>
        <w:jc w:val="center"/>
        <w:rPr>
          <w:rFonts w:hint="eastAsia" w:ascii="黑体" w:hAnsi="黑体" w:eastAsia="黑体"/>
          <w:sz w:val="32"/>
          <w:szCs w:val="32"/>
          <w:highlight w:val="none"/>
        </w:rPr>
      </w:pPr>
    </w:p>
    <w:p w14:paraId="254AF0A8">
      <w:pPr>
        <w:jc w:val="center"/>
        <w:rPr>
          <w:rFonts w:hint="eastAsia" w:ascii="黑体" w:hAnsi="黑体" w:eastAsia="黑体"/>
          <w:sz w:val="32"/>
          <w:szCs w:val="32"/>
          <w:highlight w:val="none"/>
        </w:rPr>
      </w:pPr>
    </w:p>
    <w:p w14:paraId="4899CDAA">
      <w:pPr>
        <w:jc w:val="center"/>
        <w:rPr>
          <w:rFonts w:hint="eastAsia" w:ascii="黑体" w:hAnsi="黑体" w:eastAsia="黑体"/>
          <w:sz w:val="32"/>
          <w:szCs w:val="32"/>
          <w:highlight w:val="none"/>
        </w:rPr>
      </w:pPr>
    </w:p>
    <w:p w14:paraId="1661ADDB">
      <w:pPr>
        <w:jc w:val="center"/>
        <w:rPr>
          <w:rFonts w:hint="eastAsia" w:ascii="黑体" w:hAnsi="黑体" w:eastAsia="黑体"/>
          <w:sz w:val="32"/>
          <w:szCs w:val="32"/>
          <w:highlight w:val="none"/>
        </w:rPr>
      </w:pPr>
    </w:p>
    <w:p w14:paraId="05F1E684">
      <w:pPr>
        <w:jc w:val="center"/>
        <w:rPr>
          <w:rFonts w:hint="eastAsia" w:ascii="黑体" w:hAnsi="黑体" w:eastAsia="黑体"/>
          <w:sz w:val="32"/>
          <w:szCs w:val="32"/>
          <w:highlight w:val="none"/>
        </w:rPr>
      </w:pPr>
    </w:p>
    <w:p w14:paraId="25D69E8D">
      <w:pPr>
        <w:jc w:val="both"/>
        <w:rPr>
          <w:rFonts w:hint="eastAsia" w:ascii="黑体" w:hAnsi="黑体" w:eastAsia="黑体"/>
          <w:sz w:val="32"/>
          <w:szCs w:val="32"/>
          <w:highlight w:val="none"/>
        </w:rPr>
      </w:pPr>
    </w:p>
    <w:p w14:paraId="3578FC8E">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14:paraId="2323F56D">
      <w:pPr>
        <w:spacing w:line="600" w:lineRule="exact"/>
        <w:ind w:firstLine="600" w:firstLineChars="200"/>
        <w:outlineLvl w:val="1"/>
        <w:rPr>
          <w:rFonts w:hint="eastAsia"/>
          <w:bCs/>
          <w:szCs w:val="30"/>
          <w:highlight w:val="none"/>
        </w:rPr>
      </w:pPr>
      <w:r>
        <w:rPr>
          <w:rFonts w:hint="eastAsia" w:ascii="黑体" w:hAnsi="黑体" w:eastAsia="黑体"/>
          <w:sz w:val="30"/>
          <w:szCs w:val="30"/>
          <w:highlight w:val="none"/>
        </w:rPr>
        <w:t>一、主要</w:t>
      </w:r>
      <w:r>
        <w:rPr>
          <w:rFonts w:hint="eastAsia" w:ascii="黑体" w:hAnsi="黑体" w:eastAsia="黑体"/>
          <w:sz w:val="30"/>
          <w:szCs w:val="30"/>
          <w:highlight w:val="none"/>
          <w:lang w:eastAsia="zh-CN"/>
        </w:rPr>
        <w:t>职责</w:t>
      </w:r>
    </w:p>
    <w:p w14:paraId="0D17EBEC">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rPr>
        <w:t>云南师范大学附属世纪金源学校创办于2006年9月，是由云南省教育厅主管，云南师范大学举办的一所国有公办、高校附属，集幼儿园、小学、初中、高中一体化办学的基础教育学校。学校占地121.55亩，建筑面积50</w:t>
      </w:r>
      <w:r>
        <w:rPr>
          <w:rFonts w:hint="eastAsia" w:ascii="仿宋_GB2312" w:hAnsi="Times New Roman" w:eastAsia="仿宋_GB2312" w:cs="Times New Roman"/>
          <w:sz w:val="30"/>
          <w:szCs w:val="30"/>
          <w:highlight w:val="none"/>
          <w:lang w:val="en-US" w:eastAsia="zh-CN"/>
        </w:rPr>
        <w:t>,</w:t>
      </w:r>
      <w:r>
        <w:rPr>
          <w:rFonts w:hint="eastAsia" w:ascii="仿宋_GB2312" w:hAnsi="Times New Roman" w:eastAsia="仿宋_GB2312" w:cs="Times New Roman"/>
          <w:sz w:val="30"/>
          <w:szCs w:val="30"/>
          <w:highlight w:val="none"/>
        </w:rPr>
        <w:t>041.36平方米，截至2025年12月，有教学班120个，在校师生7000余人。</w:t>
      </w:r>
    </w:p>
    <w:p w14:paraId="1E714645">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rPr>
        <w:t>学校主要职责包括：</w:t>
      </w:r>
    </w:p>
    <w:p w14:paraId="09009167">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rPr>
        <w:t>1.全学段教育教学管理：贯彻国家教育方针，坚持党的全面领导，把握正确办学方向</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分别执行幼儿园、小学、初中、高中学段的课程标准</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构建十五年</w:t>
      </w:r>
      <w:r>
        <w:rPr>
          <w:rFonts w:hint="eastAsia" w:ascii="仿宋_GB2312" w:hAnsi="Times New Roman" w:eastAsia="仿宋_GB2312" w:cs="Times New Roman"/>
          <w:sz w:val="30"/>
          <w:szCs w:val="30"/>
          <w:highlight w:val="none"/>
          <w:lang w:val="en-US" w:eastAsia="zh-CN"/>
        </w:rPr>
        <w:t>一体化</w:t>
      </w:r>
      <w:r>
        <w:rPr>
          <w:rFonts w:hint="eastAsia" w:ascii="仿宋_GB2312" w:hAnsi="Times New Roman" w:eastAsia="仿宋_GB2312" w:cs="Times New Roman"/>
          <w:sz w:val="30"/>
          <w:szCs w:val="30"/>
          <w:highlight w:val="none"/>
        </w:rPr>
        <w:t>的德育体系和课程体系，实现各学段教育的有效衔接与融合发展</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规范教学质量管理，严格执行国家教育考试制度。按照上级教育行政部门的统一部署，认真组织各学段教学质量监测，切实做好升学考试、毕业考试及学业水平考试</w:t>
      </w:r>
      <w:r>
        <w:rPr>
          <w:rFonts w:hint="eastAsia" w:ascii="仿宋_GB2312" w:hAnsi="Times New Roman" w:eastAsia="仿宋_GB2312" w:cs="Times New Roman"/>
          <w:sz w:val="30"/>
          <w:szCs w:val="30"/>
          <w:highlight w:val="none"/>
          <w:lang w:val="en-US" w:eastAsia="zh-CN"/>
        </w:rPr>
        <w:t>等</w:t>
      </w:r>
      <w:r>
        <w:rPr>
          <w:rFonts w:hint="eastAsia" w:ascii="仿宋_GB2312" w:hAnsi="Times New Roman" w:eastAsia="仿宋_GB2312" w:cs="Times New Roman"/>
          <w:sz w:val="30"/>
          <w:szCs w:val="30"/>
          <w:highlight w:val="none"/>
        </w:rPr>
        <w:t>的组织与实施工作。</w:t>
      </w:r>
    </w:p>
    <w:p w14:paraId="14B0E941">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lang w:val="en-US" w:eastAsia="zh-CN"/>
        </w:rPr>
        <w:t>2.</w:t>
      </w:r>
      <w:r>
        <w:rPr>
          <w:rFonts w:hint="eastAsia" w:ascii="仿宋_GB2312" w:hAnsi="Times New Roman" w:eastAsia="仿宋_GB2312" w:cs="Times New Roman"/>
          <w:sz w:val="30"/>
          <w:szCs w:val="30"/>
          <w:highlight w:val="none"/>
        </w:rPr>
        <w:t>学生管理与综合素质培养：坚持德育为先，尊重学生个性差异，促进学生特长发展，密切关注学生品德修养、学业水平、身心健康及兴趣培养。建立贯通式学生成长档案，开展心理健康教育、生涯规划指导。组织实施国家学生资助政策，落实各学段的奖助学金发放。</w:t>
      </w:r>
    </w:p>
    <w:p w14:paraId="5B1442F1">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rPr>
        <w:t>3.师资队伍建设与贯通培养：</w:t>
      </w:r>
      <w:r>
        <w:rPr>
          <w:rFonts w:hint="eastAsia" w:ascii="仿宋_GB2312" w:hAnsi="Times New Roman" w:eastAsia="仿宋_GB2312" w:cs="Times New Roman"/>
          <w:sz w:val="30"/>
          <w:szCs w:val="30"/>
          <w:highlight w:val="none"/>
          <w:lang w:val="en-US" w:eastAsia="zh-CN"/>
        </w:rPr>
        <w:t>规范做好</w:t>
      </w:r>
      <w:r>
        <w:rPr>
          <w:rFonts w:hint="eastAsia" w:ascii="仿宋_GB2312" w:hAnsi="Times New Roman" w:eastAsia="仿宋_GB2312" w:cs="Times New Roman"/>
          <w:sz w:val="30"/>
          <w:szCs w:val="30"/>
          <w:highlight w:val="none"/>
        </w:rPr>
        <w:t>全校教职工的编制管理、招聘引进、专业发展和师德师风建设</w:t>
      </w:r>
      <w:r>
        <w:rPr>
          <w:rFonts w:hint="eastAsia" w:ascii="仿宋_GB2312" w:hAnsi="Times New Roman" w:eastAsia="仿宋_GB2312" w:cs="Times New Roman"/>
          <w:sz w:val="30"/>
          <w:szCs w:val="30"/>
          <w:highlight w:val="none"/>
          <w:lang w:val="en-US" w:eastAsia="zh-CN"/>
        </w:rPr>
        <w:t>工作</w:t>
      </w:r>
      <w:r>
        <w:rPr>
          <w:rFonts w:hint="eastAsia" w:ascii="仿宋_GB2312" w:hAnsi="Times New Roman" w:eastAsia="仿宋_GB2312" w:cs="Times New Roman"/>
          <w:sz w:val="30"/>
          <w:szCs w:val="30"/>
          <w:highlight w:val="none"/>
        </w:rPr>
        <w:t>。组织跨学段的教研活动，探索一体化教师培养模式，打造高素质专业化教师队伍。</w:t>
      </w:r>
    </w:p>
    <w:p w14:paraId="39483AB4">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lang w:val="en-US" w:eastAsia="zh-CN"/>
        </w:rPr>
        <w:t>4.</w:t>
      </w:r>
      <w:r>
        <w:rPr>
          <w:rFonts w:hint="eastAsia" w:ascii="仿宋_GB2312" w:hAnsi="Times New Roman" w:eastAsia="仿宋_GB2312" w:cs="Times New Roman"/>
          <w:sz w:val="30"/>
          <w:szCs w:val="30"/>
          <w:highlight w:val="none"/>
        </w:rPr>
        <w:t>后勤保障：完善后勤保障体系，提升服务育人水平</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持续优化后勤管理与服务流程，牢固树立为师生服务的工作理念。强化服务意识，提升服务效能，为学校各项事业的顺利开展提供坚实的后勤保障。</w:t>
      </w:r>
    </w:p>
    <w:p w14:paraId="1C53F67F">
      <w:pPr>
        <w:spacing w:line="600" w:lineRule="exact"/>
        <w:ind w:firstLine="600" w:firstLineChars="200"/>
        <w:rPr>
          <w:rFonts w:hint="eastAsia" w:ascii="仿宋_GB2312" w:hAnsi="Times New Roman" w:eastAsia="仿宋_GB2312" w:cs="Times New Roman"/>
          <w:sz w:val="30"/>
          <w:szCs w:val="30"/>
          <w:highlight w:val="none"/>
        </w:rPr>
      </w:pPr>
      <w:r>
        <w:rPr>
          <w:rFonts w:hint="eastAsia" w:ascii="仿宋_GB2312" w:hAnsi="Times New Roman" w:eastAsia="仿宋_GB2312" w:cs="Times New Roman"/>
          <w:sz w:val="30"/>
          <w:szCs w:val="30"/>
          <w:highlight w:val="none"/>
          <w:lang w:val="en-US" w:eastAsia="zh-CN"/>
        </w:rPr>
        <w:t>5.</w:t>
      </w:r>
      <w:r>
        <w:rPr>
          <w:rFonts w:hint="eastAsia" w:ascii="仿宋_GB2312" w:hAnsi="Times New Roman" w:eastAsia="仿宋_GB2312" w:cs="Times New Roman"/>
          <w:sz w:val="30"/>
          <w:szCs w:val="30"/>
          <w:highlight w:val="none"/>
        </w:rPr>
        <w:t>财务与资产管理：严格财经纪律，规范资产管理运营</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严格执行国家财经法律法规及财务管理制度，规范教育收费行为。科学编制年度财务预算、决算，统筹合理安排、严格监管办学经费，有效防范财务风险。加强国有资产管理，提高资产使用效益，稳步推进校园基础设施建设与维修改造，持续改善办学条件。</w:t>
      </w:r>
    </w:p>
    <w:p w14:paraId="4FF1613A">
      <w:pPr>
        <w:spacing w:line="600" w:lineRule="exact"/>
        <w:ind w:firstLine="600" w:firstLineChars="200"/>
        <w:rPr>
          <w:rFonts w:hint="eastAsia" w:ascii="仿宋_GB2312" w:hAnsi="Times New Roman" w:eastAsia="仿宋_GB2312" w:cs="Times New Roman"/>
          <w:sz w:val="30"/>
          <w:szCs w:val="30"/>
          <w:highlight w:val="none"/>
          <w:lang w:eastAsia="zh-CN"/>
        </w:rPr>
      </w:pPr>
      <w:r>
        <w:rPr>
          <w:rFonts w:hint="eastAsia" w:ascii="仿宋_GB2312" w:hAnsi="Times New Roman" w:eastAsia="仿宋_GB2312" w:cs="Times New Roman"/>
          <w:sz w:val="30"/>
          <w:szCs w:val="30"/>
          <w:highlight w:val="none"/>
          <w:lang w:val="en-US" w:eastAsia="zh-CN"/>
        </w:rPr>
        <w:t>6.</w:t>
      </w:r>
      <w:r>
        <w:rPr>
          <w:rFonts w:hint="eastAsia" w:ascii="仿宋_GB2312" w:hAnsi="Times New Roman" w:eastAsia="仿宋_GB2312" w:cs="Times New Roman"/>
          <w:sz w:val="30"/>
          <w:szCs w:val="30"/>
          <w:highlight w:val="none"/>
        </w:rPr>
        <w:t>筑牢校园安全防线，建设平安和谐校园</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建立健全校园安全管理长效机制，制定完善各类突发事件应急预案。定期组织开展安全知识教育、消防疏散、防震减灾、防暴</w:t>
      </w:r>
      <w:r>
        <w:rPr>
          <w:rFonts w:hint="eastAsia" w:ascii="仿宋_GB2312" w:hAnsi="Times New Roman" w:eastAsia="仿宋_GB2312" w:cs="Times New Roman"/>
          <w:sz w:val="30"/>
          <w:szCs w:val="30"/>
          <w:highlight w:val="none"/>
          <w:lang w:val="en-US" w:eastAsia="zh-CN"/>
        </w:rPr>
        <w:t>反</w:t>
      </w:r>
      <w:r>
        <w:rPr>
          <w:rFonts w:hint="eastAsia" w:ascii="仿宋_GB2312" w:hAnsi="Times New Roman" w:eastAsia="仿宋_GB2312" w:cs="Times New Roman"/>
          <w:sz w:val="30"/>
          <w:szCs w:val="30"/>
          <w:highlight w:val="none"/>
        </w:rPr>
        <w:t>恐等演练活动，强化人防、物防、技防建设，切实保障师生生命财产安全和校园和谐稳定</w:t>
      </w:r>
      <w:r>
        <w:rPr>
          <w:rFonts w:hint="eastAsia" w:ascii="仿宋_GB2312" w:hAnsi="Times New Roman" w:eastAsia="仿宋_GB2312" w:cs="Times New Roman"/>
          <w:sz w:val="30"/>
          <w:szCs w:val="30"/>
          <w:highlight w:val="none"/>
          <w:lang w:eastAsia="zh-CN"/>
        </w:rPr>
        <w:t>。</w:t>
      </w:r>
    </w:p>
    <w:p w14:paraId="10481323">
      <w:pPr>
        <w:spacing w:line="600" w:lineRule="exact"/>
        <w:ind w:firstLine="600" w:firstLineChars="200"/>
        <w:rPr>
          <w:rFonts w:hint="eastAsia"/>
          <w:bCs/>
          <w:szCs w:val="30"/>
          <w:highlight w:val="none"/>
        </w:rPr>
      </w:pPr>
      <w:r>
        <w:rPr>
          <w:rFonts w:hint="eastAsia" w:ascii="仿宋_GB2312" w:hAnsi="Times New Roman" w:eastAsia="仿宋_GB2312" w:cs="Times New Roman"/>
          <w:sz w:val="30"/>
          <w:szCs w:val="30"/>
          <w:highlight w:val="none"/>
          <w:lang w:val="en-US" w:eastAsia="zh-CN"/>
        </w:rPr>
        <w:t>7.</w:t>
      </w:r>
      <w:r>
        <w:rPr>
          <w:rFonts w:hint="eastAsia" w:ascii="仿宋_GB2312" w:hAnsi="Times New Roman" w:eastAsia="仿宋_GB2312" w:cs="Times New Roman"/>
          <w:sz w:val="30"/>
          <w:szCs w:val="30"/>
          <w:highlight w:val="none"/>
        </w:rPr>
        <w:t>社会服务</w:t>
      </w:r>
      <w:r>
        <w:rPr>
          <w:rFonts w:hint="eastAsia" w:ascii="仿宋_GB2312" w:hAnsi="Times New Roman" w:eastAsia="仿宋_GB2312" w:cs="Times New Roman"/>
          <w:sz w:val="30"/>
          <w:szCs w:val="30"/>
          <w:highlight w:val="none"/>
          <w:lang w:val="en-US" w:eastAsia="zh-CN"/>
        </w:rPr>
        <w:t>与辐射引领</w:t>
      </w:r>
      <w:r>
        <w:rPr>
          <w:rFonts w:hint="eastAsia" w:ascii="仿宋_GB2312" w:hAnsi="Times New Roman" w:eastAsia="仿宋_GB2312" w:cs="Times New Roman"/>
          <w:sz w:val="30"/>
          <w:szCs w:val="30"/>
          <w:highlight w:val="none"/>
        </w:rPr>
        <w:t>：建立家、校、社协同育人机制</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lang w:val="en-US" w:eastAsia="zh-CN"/>
        </w:rPr>
        <w:t>实现家校社共育</w:t>
      </w:r>
      <w:r>
        <w:rPr>
          <w:rFonts w:hint="eastAsia" w:ascii="仿宋_GB2312" w:hAnsi="Times New Roman" w:eastAsia="仿宋_GB2312" w:cs="Times New Roman"/>
          <w:sz w:val="30"/>
          <w:szCs w:val="30"/>
          <w:highlight w:val="none"/>
        </w:rPr>
        <w:t>。发挥学校在</w:t>
      </w:r>
      <w:r>
        <w:rPr>
          <w:rFonts w:hint="eastAsia" w:ascii="仿宋_GB2312" w:hAnsi="Times New Roman" w:eastAsia="仿宋_GB2312" w:cs="Times New Roman"/>
          <w:sz w:val="30"/>
          <w:szCs w:val="30"/>
          <w:highlight w:val="none"/>
          <w:lang w:val="en-US" w:eastAsia="zh-CN"/>
        </w:rPr>
        <w:t>教育教学上</w:t>
      </w:r>
      <w:r>
        <w:rPr>
          <w:rFonts w:hint="eastAsia" w:ascii="仿宋_GB2312" w:hAnsi="Times New Roman" w:eastAsia="仿宋_GB2312" w:cs="Times New Roman"/>
          <w:sz w:val="30"/>
          <w:szCs w:val="30"/>
          <w:highlight w:val="none"/>
        </w:rPr>
        <w:t>的优势和辐射作用，承担对口帮扶工作</w:t>
      </w:r>
      <w:r>
        <w:rPr>
          <w:rFonts w:hint="eastAsia" w:ascii="仿宋_GB2312" w:hAnsi="Times New Roman" w:eastAsia="仿宋_GB2312" w:cs="Times New Roman"/>
          <w:sz w:val="30"/>
          <w:szCs w:val="30"/>
          <w:highlight w:val="none"/>
          <w:lang w:eastAsia="zh-CN"/>
        </w:rPr>
        <w:t>，</w:t>
      </w:r>
      <w:r>
        <w:rPr>
          <w:rFonts w:hint="eastAsia" w:ascii="仿宋_GB2312" w:hAnsi="Times New Roman" w:eastAsia="仿宋_GB2312" w:cs="Times New Roman"/>
          <w:sz w:val="30"/>
          <w:szCs w:val="30"/>
          <w:highlight w:val="none"/>
        </w:rPr>
        <w:t>为云南省基础教育的发展作出积极有效的贡献。</w:t>
      </w:r>
    </w:p>
    <w:p w14:paraId="23320C0B">
      <w:pPr>
        <w:spacing w:line="600" w:lineRule="exact"/>
        <w:ind w:firstLine="600" w:firstLineChars="200"/>
        <w:outlineLvl w:val="1"/>
        <w:rPr>
          <w:rFonts w:hint="eastAsia" w:ascii="黑体" w:hAnsi="黑体" w:eastAsia="黑体"/>
          <w:sz w:val="30"/>
          <w:szCs w:val="30"/>
          <w:highlight w:val="none"/>
        </w:rPr>
      </w:pPr>
      <w:r>
        <w:rPr>
          <w:rFonts w:hint="eastAsia" w:ascii="黑体" w:hAnsi="黑体" w:eastAsia="黑体"/>
          <w:sz w:val="30"/>
          <w:szCs w:val="30"/>
          <w:highlight w:val="none"/>
        </w:rPr>
        <w:t>二、基本情况</w:t>
      </w:r>
    </w:p>
    <w:p w14:paraId="44A931FF">
      <w:pPr>
        <w:spacing w:line="600" w:lineRule="exact"/>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rPr>
        <w:t>（一）机构设置情况</w:t>
      </w:r>
    </w:p>
    <w:p w14:paraId="5A6DD4DA">
      <w:pPr>
        <w:spacing w:line="600" w:lineRule="exact"/>
        <w:ind w:firstLine="600" w:firstLineChars="200"/>
        <w:rPr>
          <w:rFonts w:hint="eastAsia" w:ascii="仿宋_GB2312" w:hAnsi="Times New Roman" w:eastAsia="仿宋_GB2312" w:cs="Times New Roman"/>
          <w:sz w:val="30"/>
          <w:szCs w:val="30"/>
          <w:highlight w:val="none"/>
          <w:lang w:val="en-US" w:eastAsia="zh-CN"/>
        </w:rPr>
      </w:pPr>
      <w:r>
        <w:rPr>
          <w:rFonts w:hint="eastAsia" w:ascii="仿宋_GB2312" w:eastAsia="仿宋_GB2312"/>
          <w:sz w:val="30"/>
          <w:szCs w:val="30"/>
          <w:highlight w:val="none"/>
          <w:lang w:val="en-US" w:eastAsia="zh-CN"/>
        </w:rPr>
        <w:t>我单位共设置</w:t>
      </w:r>
      <w:r>
        <w:rPr>
          <w:rFonts w:hint="eastAsia" w:ascii="仿宋_GB2312" w:hAnsi="Times New Roman" w:eastAsia="仿宋_GB2312" w:cs="Times New Roman"/>
          <w:sz w:val="30"/>
          <w:szCs w:val="30"/>
          <w:highlight w:val="none"/>
          <w:lang w:val="en-US" w:eastAsia="zh-CN"/>
        </w:rPr>
        <w:t>14个内设机构，包括：幼儿园段、小学段、初中段、高</w:t>
      </w:r>
      <w:r>
        <w:rPr>
          <w:rFonts w:hint="eastAsia" w:ascii="仿宋_GB2312" w:hAnsi="仿宋_GB2312" w:eastAsia="仿宋_GB2312" w:cs="仿宋_GB2312"/>
          <w:color w:val="auto"/>
          <w:sz w:val="30"/>
          <w:szCs w:val="30"/>
          <w:lang w:val="en-US" w:eastAsia="zh-CN"/>
        </w:rPr>
        <w:t>中段、党委办公室、行政办公室、教学运行中心、教师发展中心、学生成长中心、</w:t>
      </w:r>
      <w:r>
        <w:rPr>
          <w:rFonts w:hint="eastAsia" w:ascii="仿宋_GB2312" w:hAnsi="Times New Roman" w:eastAsia="仿宋_GB2312" w:cs="Times New Roman"/>
          <w:sz w:val="30"/>
          <w:szCs w:val="30"/>
          <w:highlight w:val="none"/>
          <w:lang w:val="en-US" w:eastAsia="zh-CN"/>
        </w:rPr>
        <w:t>安全保卫中心、后勤保障中心、数据科创中心、工会、团委。</w:t>
      </w:r>
    </w:p>
    <w:p w14:paraId="2F3690AB">
      <w:pPr>
        <w:spacing w:line="600" w:lineRule="exact"/>
        <w:ind w:firstLine="600" w:firstLineChars="200"/>
        <w:rPr>
          <w:rFonts w:hint="eastAsia" w:ascii="仿宋_GB2312" w:eastAsia="仿宋_GB2312"/>
          <w:sz w:val="30"/>
          <w:szCs w:val="30"/>
          <w:highlight w:val="none"/>
          <w:lang w:val="en-US" w:eastAsia="zh-CN"/>
        </w:rPr>
      </w:pPr>
      <w:r>
        <w:rPr>
          <w:rFonts w:hint="eastAsia" w:ascii="仿宋_GB2312" w:eastAsia="仿宋_GB2312"/>
          <w:sz w:val="30"/>
          <w:szCs w:val="30"/>
          <w:highlight w:val="none"/>
          <w:lang w:val="en-US" w:eastAsia="zh-CN"/>
        </w:rPr>
        <w:t>我单位为基层预算单位，无下属单位。</w:t>
      </w:r>
    </w:p>
    <w:p w14:paraId="131393BB">
      <w:pPr>
        <w:spacing w:line="600" w:lineRule="exact"/>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决算单位构成</w:t>
      </w:r>
    </w:p>
    <w:p w14:paraId="0263582F">
      <w:pPr>
        <w:spacing w:line="600" w:lineRule="exact"/>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lang w:eastAsia="zh-CN"/>
        </w:rPr>
        <w:t>我单位作为</w:t>
      </w:r>
      <w:r>
        <w:rPr>
          <w:rFonts w:hint="eastAsia" w:ascii="仿宋_GB2312" w:eastAsia="仿宋_GB2312"/>
          <w:sz w:val="30"/>
          <w:szCs w:val="30"/>
          <w:highlight w:val="none"/>
          <w:lang w:val="en-US" w:eastAsia="zh-CN"/>
        </w:rPr>
        <w:t>云南省教育厅的</w:t>
      </w:r>
      <w:r>
        <w:rPr>
          <w:rFonts w:hint="eastAsia" w:ascii="仿宋_GB2312" w:eastAsia="仿宋_GB2312"/>
          <w:sz w:val="30"/>
          <w:szCs w:val="30"/>
          <w:highlight w:val="none"/>
          <w:lang w:eastAsia="zh-CN"/>
        </w:rPr>
        <w:t>二级预算单位</w:t>
      </w:r>
      <w:r>
        <w:rPr>
          <w:rFonts w:hint="eastAsia" w:ascii="仿宋_GB2312" w:eastAsia="仿宋_GB2312"/>
          <w:sz w:val="30"/>
          <w:szCs w:val="30"/>
          <w:highlight w:val="none"/>
        </w:rPr>
        <w:t>纳入</w:t>
      </w: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部门决算编报</w:t>
      </w:r>
      <w:r>
        <w:rPr>
          <w:rFonts w:hint="eastAsia" w:ascii="仿宋_GB2312" w:eastAsia="仿宋_GB2312"/>
          <w:sz w:val="30"/>
          <w:szCs w:val="30"/>
          <w:highlight w:val="none"/>
          <w:lang w:eastAsia="zh-CN"/>
        </w:rPr>
        <w:t>范围</w:t>
      </w:r>
      <w:r>
        <w:rPr>
          <w:rFonts w:hint="eastAsia" w:ascii="仿宋_GB2312" w:eastAsia="仿宋_GB2312"/>
          <w:sz w:val="30"/>
          <w:szCs w:val="30"/>
          <w:highlight w:val="none"/>
        </w:rPr>
        <w:t>。</w:t>
      </w:r>
    </w:p>
    <w:p w14:paraId="2A680A52">
      <w:pPr>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rPr>
        <w:t>（</w:t>
      </w:r>
      <w:r>
        <w:rPr>
          <w:rFonts w:hint="eastAsia" w:ascii="楷体" w:hAnsi="楷体" w:eastAsia="楷体"/>
          <w:sz w:val="30"/>
          <w:szCs w:val="30"/>
          <w:highlight w:val="none"/>
          <w:lang w:eastAsia="zh-CN"/>
        </w:rPr>
        <w:t>三</w:t>
      </w:r>
      <w:r>
        <w:rPr>
          <w:rFonts w:hint="eastAsia" w:ascii="楷体" w:hAnsi="楷体" w:eastAsia="楷体"/>
          <w:sz w:val="30"/>
          <w:szCs w:val="30"/>
          <w:highlight w:val="none"/>
        </w:rPr>
        <w:t>）</w:t>
      </w:r>
      <w:r>
        <w:rPr>
          <w:rFonts w:hint="eastAsia" w:ascii="楷体" w:hAnsi="楷体" w:eastAsia="楷体"/>
          <w:sz w:val="30"/>
          <w:szCs w:val="30"/>
          <w:highlight w:val="none"/>
          <w:lang w:eastAsia="zh-CN"/>
        </w:rPr>
        <w:t>单位</w:t>
      </w:r>
      <w:r>
        <w:rPr>
          <w:rFonts w:hint="eastAsia" w:ascii="楷体" w:hAnsi="楷体" w:eastAsia="楷体"/>
          <w:sz w:val="30"/>
          <w:szCs w:val="30"/>
          <w:highlight w:val="none"/>
        </w:rPr>
        <w:t xml:space="preserve">人员和车辆的编制及实有情况 </w:t>
      </w:r>
    </w:p>
    <w:p w14:paraId="047158C8">
      <w:pPr>
        <w:spacing w:line="600" w:lineRule="exact"/>
        <w:ind w:firstLine="600" w:firstLineChars="200"/>
        <w:rPr>
          <w:rFonts w:hint="eastAsia" w:ascii="仿宋_GB2312" w:hAnsi="宋体" w:eastAsia="仿宋_GB2312" w:cs="Arial"/>
          <w:kern w:val="0"/>
          <w:sz w:val="30"/>
          <w:szCs w:val="30"/>
          <w:highlight w:val="none"/>
          <w:lang w:eastAsia="zh-CN"/>
        </w:rPr>
      </w:pPr>
      <w:r>
        <w:rPr>
          <w:rFonts w:hint="eastAsia" w:ascii="仿宋_GB2312" w:eastAsia="仿宋_GB2312"/>
          <w:sz w:val="30"/>
          <w:szCs w:val="30"/>
          <w:highlight w:val="none"/>
          <w:lang w:eastAsia="zh-CN"/>
        </w:rPr>
        <w:t>我单位</w:t>
      </w:r>
      <w:r>
        <w:rPr>
          <w:rFonts w:hint="eastAsia" w:ascii="仿宋_GB2312" w:eastAsia="仿宋_GB2312"/>
          <w:sz w:val="30"/>
          <w:szCs w:val="30"/>
          <w:highlight w:val="none"/>
          <w:lang w:val="en-US" w:eastAsia="zh-CN"/>
        </w:rPr>
        <w:t>2025</w:t>
      </w:r>
      <w:r>
        <w:rPr>
          <w:rFonts w:hint="eastAsia" w:ascii="仿宋_GB2312" w:eastAsia="仿宋_GB2312"/>
          <w:sz w:val="30"/>
          <w:szCs w:val="30"/>
          <w:highlight w:val="none"/>
        </w:rPr>
        <w:t>年末</w:t>
      </w:r>
      <w:r>
        <w:rPr>
          <w:rFonts w:hint="eastAsia" w:ascii="仿宋_GB2312" w:eastAsia="仿宋_GB2312"/>
          <w:sz w:val="30"/>
          <w:szCs w:val="30"/>
          <w:highlight w:val="none"/>
          <w:lang w:eastAsia="zh-CN"/>
        </w:rPr>
        <w:t>编制内</w:t>
      </w:r>
      <w:r>
        <w:rPr>
          <w:rFonts w:hint="eastAsia" w:ascii="仿宋_GB2312" w:eastAsia="仿宋_GB2312"/>
          <w:sz w:val="30"/>
          <w:szCs w:val="30"/>
          <w:highlight w:val="none"/>
        </w:rPr>
        <w:t>实有人员</w:t>
      </w:r>
      <w:r>
        <w:rPr>
          <w:rFonts w:hint="eastAsia" w:ascii="仿宋_GB2312" w:hAnsi="仿宋_GB2312" w:eastAsia="仿宋_GB2312" w:cs="仿宋_GB2312"/>
          <w:color w:val="auto"/>
          <w:sz w:val="30"/>
          <w:szCs w:val="30"/>
          <w:lang w:val="en-US" w:eastAsia="zh-CN"/>
        </w:rPr>
        <w:t>339</w:t>
      </w:r>
      <w:r>
        <w:rPr>
          <w:rFonts w:hint="eastAsia" w:ascii="仿宋_GB2312" w:hAnsi="宋体" w:eastAsia="仿宋_GB2312" w:cs="Arial"/>
          <w:kern w:val="0"/>
          <w:sz w:val="30"/>
          <w:szCs w:val="30"/>
          <w:highlight w:val="none"/>
        </w:rPr>
        <w:t>人。</w:t>
      </w:r>
      <w:r>
        <w:rPr>
          <w:rFonts w:hint="eastAsia" w:ascii="仿宋_GB2312" w:hAnsi="宋体" w:eastAsia="仿宋_GB2312" w:cs="Arial"/>
          <w:b w:val="0"/>
          <w:bCs w:val="0"/>
          <w:kern w:val="0"/>
          <w:sz w:val="30"/>
          <w:szCs w:val="30"/>
          <w:highlight w:val="none"/>
          <w:lang w:eastAsia="zh-CN"/>
        </w:rPr>
        <w:t>包括</w:t>
      </w:r>
      <w:r>
        <w:rPr>
          <w:rFonts w:hint="eastAsia" w:ascii="仿宋_GB2312" w:hAnsi="宋体" w:eastAsia="仿宋_GB2312" w:cs="Arial"/>
          <w:kern w:val="0"/>
          <w:sz w:val="30"/>
          <w:szCs w:val="30"/>
          <w:highlight w:val="none"/>
          <w:lang w:eastAsia="zh-CN"/>
        </w:rPr>
        <w:t>财政拨款开支经费的</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公务员</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参照公务员法管理人员</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w:t>
      </w:r>
      <w:r>
        <w:rPr>
          <w:rFonts w:hint="eastAsia" w:ascii="仿宋_GB2312" w:hAnsi="宋体" w:eastAsia="仿宋_GB2312" w:cs="Arial"/>
          <w:kern w:val="0"/>
          <w:sz w:val="30"/>
          <w:szCs w:val="30"/>
          <w:highlight w:val="none"/>
        </w:rPr>
        <w:t>事业管理人员和专业技术人员</w:t>
      </w:r>
      <w:r>
        <w:rPr>
          <w:rFonts w:hint="eastAsia" w:ascii="仿宋_GB2312" w:hAnsi="仿宋_GB2312" w:eastAsia="仿宋_GB2312" w:cs="仿宋_GB2312"/>
          <w:color w:val="auto"/>
          <w:sz w:val="30"/>
          <w:szCs w:val="30"/>
          <w:lang w:val="en-US" w:eastAsia="zh-CN"/>
        </w:rPr>
        <w:t>337</w:t>
      </w:r>
      <w:r>
        <w:rPr>
          <w:rFonts w:hint="eastAsia" w:ascii="仿宋_GB2312" w:hAnsi="宋体" w:eastAsia="仿宋_GB2312" w:cs="Arial"/>
          <w:kern w:val="0"/>
          <w:sz w:val="30"/>
          <w:szCs w:val="30"/>
          <w:highlight w:val="none"/>
        </w:rPr>
        <w:t>人，机关和事业工人</w:t>
      </w:r>
      <w:r>
        <w:rPr>
          <w:rFonts w:hint="eastAsia" w:ascii="仿宋_GB2312" w:hAnsi="仿宋_GB2312" w:eastAsia="仿宋_GB2312" w:cs="仿宋_GB2312"/>
          <w:color w:val="auto"/>
          <w:sz w:val="30"/>
          <w:szCs w:val="30"/>
          <w:lang w:val="en-US" w:eastAsia="zh-CN"/>
        </w:rPr>
        <w:t>2</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；经费自理人员</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w:t>
      </w:r>
    </w:p>
    <w:p w14:paraId="2C52D702">
      <w:pPr>
        <w:spacing w:line="600" w:lineRule="exact"/>
        <w:ind w:firstLine="600" w:firstLineChars="200"/>
        <w:rPr>
          <w:rFonts w:hint="eastAsia" w:ascii="仿宋_GB2312" w:hAnsi="宋体" w:eastAsia="仿宋_GB2312" w:cs="Arial"/>
          <w:kern w:val="0"/>
          <w:sz w:val="30"/>
          <w:szCs w:val="30"/>
          <w:highlight w:val="none"/>
          <w:lang w:val="en-US" w:eastAsia="zh-CN"/>
        </w:rPr>
      </w:pPr>
      <w:r>
        <w:rPr>
          <w:rFonts w:hint="eastAsia" w:ascii="仿宋_GB2312" w:eastAsia="仿宋_GB2312"/>
          <w:sz w:val="30"/>
          <w:szCs w:val="30"/>
          <w:highlight w:val="none"/>
          <w:lang w:eastAsia="zh-CN"/>
        </w:rPr>
        <w:t>我单位</w:t>
      </w:r>
      <w:r>
        <w:rPr>
          <w:rFonts w:hint="eastAsia" w:ascii="仿宋_GB2312" w:eastAsia="仿宋_GB2312"/>
          <w:sz w:val="30"/>
          <w:szCs w:val="30"/>
          <w:highlight w:val="none"/>
          <w:lang w:val="en-US" w:eastAsia="zh-CN"/>
        </w:rPr>
        <w:t>2025</w:t>
      </w:r>
      <w:r>
        <w:rPr>
          <w:rFonts w:hint="eastAsia" w:ascii="仿宋_GB2312" w:eastAsia="仿宋_GB2312"/>
          <w:sz w:val="30"/>
          <w:szCs w:val="30"/>
          <w:highlight w:val="none"/>
        </w:rPr>
        <w:t>年末</w:t>
      </w:r>
      <w:r>
        <w:rPr>
          <w:rFonts w:hint="eastAsia" w:ascii="仿宋_GB2312" w:eastAsia="仿宋_GB2312"/>
          <w:sz w:val="30"/>
          <w:szCs w:val="30"/>
          <w:highlight w:val="none"/>
          <w:lang w:eastAsia="zh-CN"/>
        </w:rPr>
        <w:t>其他人员</w:t>
      </w:r>
      <w:r>
        <w:rPr>
          <w:rFonts w:hint="eastAsia" w:ascii="仿宋_GB2312" w:hAnsi="仿宋_GB2312" w:eastAsia="仿宋_GB2312" w:cs="仿宋_GB2312"/>
          <w:color w:val="auto"/>
          <w:sz w:val="30"/>
          <w:szCs w:val="30"/>
          <w:lang w:val="en-US" w:eastAsia="zh-CN"/>
        </w:rPr>
        <w:t>42</w:t>
      </w:r>
      <w:r>
        <w:rPr>
          <w:rFonts w:hint="eastAsia" w:ascii="仿宋_GB2312" w:eastAsia="仿宋_GB2312"/>
          <w:sz w:val="30"/>
          <w:szCs w:val="30"/>
          <w:highlight w:val="none"/>
          <w:lang w:val="en-US" w:eastAsia="zh-CN"/>
        </w:rPr>
        <w:t>人。包括财政拨款开支经费的人员</w:t>
      </w:r>
      <w:r>
        <w:rPr>
          <w:rFonts w:hint="eastAsia" w:ascii="仿宋_GB2312" w:hAnsi="仿宋_GB2312" w:eastAsia="仿宋_GB2312" w:cs="仿宋_GB2312"/>
          <w:color w:val="auto"/>
          <w:sz w:val="30"/>
          <w:szCs w:val="30"/>
          <w:lang w:val="en-US" w:eastAsia="zh-CN"/>
        </w:rPr>
        <w:t>42</w:t>
      </w:r>
      <w:r>
        <w:rPr>
          <w:rFonts w:hint="eastAsia" w:ascii="仿宋_GB2312" w:eastAsia="仿宋_GB2312"/>
          <w:sz w:val="30"/>
          <w:szCs w:val="30"/>
          <w:highlight w:val="none"/>
          <w:lang w:eastAsia="zh-CN"/>
        </w:rPr>
        <w:t>人；经费自理人员</w:t>
      </w:r>
      <w:r>
        <w:rPr>
          <w:rFonts w:hint="eastAsia" w:ascii="仿宋_GB2312" w:hAnsi="仿宋_GB2312" w:eastAsia="仿宋_GB2312" w:cs="仿宋_GB2312"/>
          <w:color w:val="auto"/>
          <w:sz w:val="30"/>
          <w:szCs w:val="30"/>
          <w:lang w:val="en-US" w:eastAsia="zh-CN"/>
        </w:rPr>
        <w:t>0</w:t>
      </w:r>
      <w:r>
        <w:rPr>
          <w:rFonts w:hint="eastAsia" w:ascii="仿宋_GB2312" w:eastAsia="仿宋_GB2312"/>
          <w:sz w:val="30"/>
          <w:szCs w:val="30"/>
          <w:highlight w:val="none"/>
          <w:lang w:eastAsia="zh-CN"/>
        </w:rPr>
        <w:t>人。</w:t>
      </w:r>
    </w:p>
    <w:p w14:paraId="152A1A75">
      <w:pPr>
        <w:spacing w:line="600" w:lineRule="exact"/>
        <w:ind w:firstLine="600" w:firstLineChars="200"/>
        <w:rPr>
          <w:rFonts w:hint="default" w:ascii="仿宋_GB2312" w:hAnsi="宋体" w:eastAsia="仿宋_GB2312" w:cs="Arial"/>
          <w:color w:val="FF0000"/>
          <w:kern w:val="0"/>
          <w:sz w:val="30"/>
          <w:szCs w:val="30"/>
          <w:highlight w:val="none"/>
          <w:lang w:val="en-US" w:eastAsia="zh-CN"/>
        </w:rPr>
      </w:pPr>
      <w:r>
        <w:rPr>
          <w:rFonts w:hint="eastAsia" w:ascii="仿宋_GB2312" w:hAnsi="宋体" w:eastAsia="仿宋_GB2312" w:cs="Arial"/>
          <w:i w:val="0"/>
          <w:iCs w:val="0"/>
          <w:kern w:val="0"/>
          <w:sz w:val="30"/>
          <w:szCs w:val="30"/>
          <w:highlight w:val="none"/>
          <w:lang w:eastAsia="zh-CN"/>
        </w:rPr>
        <w:t>年末单位发放离退休费的</w:t>
      </w:r>
      <w:r>
        <w:rPr>
          <w:rFonts w:hint="eastAsia" w:ascii="仿宋_GB2312" w:hAnsi="宋体" w:eastAsia="仿宋_GB2312" w:cs="Arial"/>
          <w:i w:val="0"/>
          <w:iCs w:val="0"/>
          <w:strike w:val="0"/>
          <w:dstrike w:val="0"/>
          <w:color w:val="auto"/>
          <w:kern w:val="0"/>
          <w:sz w:val="30"/>
          <w:szCs w:val="30"/>
          <w:highlight w:val="none"/>
        </w:rPr>
        <w:t>离</w:t>
      </w:r>
      <w:r>
        <w:rPr>
          <w:rFonts w:hint="eastAsia" w:ascii="仿宋_GB2312" w:hAnsi="宋体" w:eastAsia="仿宋_GB2312" w:cs="Arial"/>
          <w:i w:val="0"/>
          <w:iCs w:val="0"/>
          <w:kern w:val="0"/>
          <w:sz w:val="30"/>
          <w:szCs w:val="30"/>
          <w:highlight w:val="none"/>
        </w:rPr>
        <w:t>退休人员</w:t>
      </w:r>
      <w:r>
        <w:rPr>
          <w:rFonts w:hint="eastAsia" w:ascii="仿宋_GB2312" w:hAnsi="宋体" w:eastAsia="仿宋_GB2312" w:cs="Arial"/>
          <w:i w:val="0"/>
          <w:iCs w:val="0"/>
          <w:kern w:val="0"/>
          <w:sz w:val="30"/>
          <w:szCs w:val="30"/>
          <w:highlight w:val="none"/>
          <w:lang w:eastAsia="zh-CN"/>
        </w:rPr>
        <w:t>共计</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w:t>
      </w:r>
      <w:r>
        <w:rPr>
          <w:rFonts w:hint="eastAsia" w:ascii="仿宋_GB2312" w:hAnsi="宋体" w:eastAsia="仿宋_GB2312" w:cs="Arial"/>
          <w:kern w:val="0"/>
          <w:sz w:val="30"/>
          <w:szCs w:val="30"/>
          <w:highlight w:val="none"/>
        </w:rPr>
        <w:t>离休</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人，退休</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）。年末</w:t>
      </w:r>
      <w:r>
        <w:rPr>
          <w:rFonts w:hint="eastAsia" w:ascii="仿宋_GB2312" w:hAnsi="宋体" w:eastAsia="仿宋_GB2312" w:cs="Arial"/>
          <w:kern w:val="0"/>
          <w:sz w:val="30"/>
          <w:szCs w:val="30"/>
          <w:highlight w:val="none"/>
        </w:rPr>
        <w:t>由养老保险基金发放养老金的离退休人员</w:t>
      </w:r>
      <w:r>
        <w:rPr>
          <w:rFonts w:hint="eastAsia" w:ascii="仿宋_GB2312" w:hAnsi="仿宋_GB2312" w:eastAsia="仿宋_GB2312" w:cs="仿宋_GB2312"/>
          <w:color w:val="auto"/>
          <w:sz w:val="30"/>
          <w:szCs w:val="30"/>
          <w:lang w:val="en-US" w:eastAsia="zh-CN"/>
        </w:rPr>
        <w:t>48</w:t>
      </w:r>
      <w:r>
        <w:rPr>
          <w:rFonts w:hint="eastAsia" w:ascii="仿宋_GB2312" w:hAnsi="宋体" w:eastAsia="仿宋_GB2312" w:cs="Arial"/>
          <w:kern w:val="0"/>
          <w:sz w:val="30"/>
          <w:szCs w:val="30"/>
          <w:highlight w:val="none"/>
          <w:lang w:val="en-US" w:eastAsia="zh-CN"/>
        </w:rPr>
        <w:t>人</w:t>
      </w:r>
      <w:r>
        <w:rPr>
          <w:rFonts w:hint="eastAsia" w:ascii="仿宋_GB2312" w:hAnsi="宋体" w:eastAsia="仿宋_GB2312" w:cs="Arial"/>
          <w:kern w:val="0"/>
          <w:sz w:val="30"/>
          <w:szCs w:val="30"/>
          <w:highlight w:val="none"/>
          <w:lang w:eastAsia="zh-CN"/>
        </w:rPr>
        <w:t>（</w:t>
      </w:r>
      <w:r>
        <w:rPr>
          <w:rFonts w:hint="eastAsia" w:ascii="仿宋_GB2312" w:hAnsi="宋体" w:eastAsia="仿宋_GB2312" w:cs="Arial"/>
          <w:kern w:val="0"/>
          <w:sz w:val="30"/>
          <w:szCs w:val="30"/>
          <w:highlight w:val="none"/>
        </w:rPr>
        <w:t>离休</w:t>
      </w:r>
      <w:r>
        <w:rPr>
          <w:rFonts w:hint="eastAsia" w:ascii="仿宋_GB2312" w:hAnsi="仿宋_GB2312" w:eastAsia="仿宋_GB2312" w:cs="仿宋_GB2312"/>
          <w:color w:val="auto"/>
          <w:sz w:val="30"/>
          <w:szCs w:val="30"/>
          <w:lang w:val="en-US" w:eastAsia="zh-CN"/>
        </w:rPr>
        <w:t>0</w:t>
      </w:r>
      <w:r>
        <w:rPr>
          <w:rFonts w:hint="eastAsia" w:ascii="仿宋_GB2312" w:hAnsi="宋体" w:eastAsia="仿宋_GB2312" w:cs="Arial"/>
          <w:kern w:val="0"/>
          <w:sz w:val="30"/>
          <w:szCs w:val="30"/>
          <w:highlight w:val="none"/>
        </w:rPr>
        <w:t>人，退休</w:t>
      </w:r>
      <w:r>
        <w:rPr>
          <w:rFonts w:hint="eastAsia" w:ascii="仿宋_GB2312" w:hAnsi="仿宋_GB2312" w:eastAsia="仿宋_GB2312" w:cs="仿宋_GB2312"/>
          <w:color w:val="auto"/>
          <w:sz w:val="30"/>
          <w:szCs w:val="30"/>
          <w:lang w:val="en-US" w:eastAsia="zh-CN"/>
        </w:rPr>
        <w:t>48</w:t>
      </w:r>
      <w:r>
        <w:rPr>
          <w:rFonts w:hint="eastAsia" w:ascii="仿宋_GB2312" w:hAnsi="宋体" w:eastAsia="仿宋_GB2312" w:cs="Arial"/>
          <w:kern w:val="0"/>
          <w:sz w:val="30"/>
          <w:szCs w:val="30"/>
          <w:highlight w:val="none"/>
        </w:rPr>
        <w:t>人</w:t>
      </w:r>
      <w:r>
        <w:rPr>
          <w:rFonts w:hint="eastAsia" w:ascii="仿宋_GB2312" w:hAnsi="宋体" w:eastAsia="仿宋_GB2312" w:cs="Arial"/>
          <w:kern w:val="0"/>
          <w:sz w:val="30"/>
          <w:szCs w:val="30"/>
          <w:highlight w:val="none"/>
          <w:lang w:eastAsia="zh-CN"/>
        </w:rPr>
        <w:t>）</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val="en-US" w:eastAsia="zh-CN"/>
        </w:rPr>
        <w:t>年末学生</w:t>
      </w:r>
      <w:r>
        <w:rPr>
          <w:rFonts w:hint="eastAsia" w:ascii="仿宋_GB2312" w:hAnsi="仿宋_GB2312" w:eastAsia="仿宋_GB2312" w:cs="仿宋_GB2312"/>
          <w:color w:val="auto"/>
          <w:sz w:val="30"/>
          <w:szCs w:val="30"/>
          <w:lang w:val="en-US" w:eastAsia="zh-CN"/>
        </w:rPr>
        <w:t>6439</w:t>
      </w:r>
      <w:r>
        <w:rPr>
          <w:rFonts w:hint="eastAsia" w:ascii="仿宋_GB2312" w:hAnsi="宋体" w:eastAsia="仿宋_GB2312" w:cs="Arial"/>
          <w:kern w:val="0"/>
          <w:sz w:val="30"/>
          <w:szCs w:val="30"/>
          <w:highlight w:val="none"/>
          <w:lang w:val="en-US" w:eastAsia="zh-CN"/>
        </w:rPr>
        <w:t>人。</w:t>
      </w:r>
    </w:p>
    <w:p w14:paraId="2C730E50">
      <w:pPr>
        <w:spacing w:line="600" w:lineRule="exact"/>
        <w:ind w:firstLine="600" w:firstLineChars="200"/>
        <w:rPr>
          <w:rFonts w:hint="eastAsia" w:ascii="仿宋_GB2312" w:hAnsi="宋体" w:eastAsia="仿宋_GB2312" w:cs="Arial"/>
          <w:color w:val="FF0000"/>
          <w:kern w:val="0"/>
          <w:sz w:val="30"/>
          <w:szCs w:val="30"/>
          <w:highlight w:val="none"/>
        </w:rPr>
      </w:pPr>
      <w:r>
        <w:rPr>
          <w:rFonts w:hint="eastAsia" w:ascii="仿宋_GB2312" w:hAnsi="仿宋_GB2312" w:eastAsia="仿宋_GB2312" w:cs="仿宋_GB2312"/>
          <w:b w:val="0"/>
          <w:bCs w:val="0"/>
          <w:sz w:val="30"/>
          <w:szCs w:val="30"/>
          <w:highlight w:val="none"/>
          <w:u w:val="none"/>
          <w:lang w:val="en-US" w:eastAsia="zh-CN"/>
        </w:rPr>
        <w:t>车辆编制5辆，在编实有车辆3辆，超编0辆。</w:t>
      </w:r>
    </w:p>
    <w:p w14:paraId="24D1979F">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lang w:eastAsia="zh-CN"/>
        </w:rPr>
        <w:t>三、重点工作概述</w:t>
      </w:r>
    </w:p>
    <w:p w14:paraId="5B08257B">
      <w:pPr>
        <w:spacing w:line="60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我校围绕立德树人根本任务，抓住“151战略行动计划”契机，深化“三同四共”一体化发展理念，以高质量发展为核心，全校师生凝心聚力、务实笃行，在安全护航、德育铸魂、教学提质、强师赋能、后勤保障等方面精准发力，各项工作取得突破性进展。</w:t>
      </w:r>
    </w:p>
    <w:p w14:paraId="02932D4C">
      <w:pPr>
        <w:numPr>
          <w:ilvl w:val="0"/>
          <w:numId w:val="0"/>
        </w:numPr>
        <w:spacing w:line="600" w:lineRule="exact"/>
        <w:ind w:firstLine="600" w:firstLineChars="200"/>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（一）安心护航，筑牢校园安全</w:t>
      </w:r>
    </w:p>
    <w:p w14:paraId="20E4E569">
      <w:pPr>
        <w:numPr>
          <w:ilvl w:val="0"/>
          <w:numId w:val="0"/>
        </w:numPr>
        <w:spacing w:line="60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我校不断强化联防联控与安全排查，抓实校园安全精细化管理。联合多方部门开展安全隐患排查清理，累计开展防震减灾、消防安全、防暴恐等应急演练30次；组织34名护校队员、113名学生安全员开展7次应急培训，严格落实每日值班制度、“1530”安全教育及月度安全例会、坚持常态化安全排查。学校完成全校建筑安全检测与排危改造，更新361个监控摄像头，修订校园安全管理手册，依托多元宣教形式普及各类安全知识；严格落实意识形态责任制，排查清理85个校内工作群。心理健康教育成效显著，全年完成9批次7067人次心理测评，开展300人次个案疏导，心理功能室接待124人次，培训173名班级心理委员，相关工作机制获评省级典型案例，创新举办“校园心灵文化节”，搭建全学段心理健康教育体系。同时，常态化落实食堂食品安全管控，开展27次从业人员培训、10次现场调度会、2次食品安全应急演练，迎接27次各级检查；严守网络安全底线，落实“零报告”制度，开展12次网络安全宣传，全面筑牢校园安全屏障。</w:t>
      </w:r>
    </w:p>
    <w:p w14:paraId="3FA2DE43">
      <w:pPr>
        <w:numPr>
          <w:ilvl w:val="0"/>
          <w:numId w:val="1"/>
        </w:numPr>
        <w:spacing w:line="600" w:lineRule="exact"/>
        <w:ind w:firstLine="600" w:firstLineChars="200"/>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尽心育人，彰显育人成效</w:t>
      </w:r>
    </w:p>
    <w:p w14:paraId="0397C4D7">
      <w:pPr>
        <w:numPr>
          <w:ilvl w:val="0"/>
          <w:numId w:val="0"/>
        </w:numPr>
        <w:spacing w:line="60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学校坚守立德树人初心，深化五育融合育人模式，推动学生全面发展，教育教学质量再创历史新高。学校构建多维育人体系，常态化开展德育活动与研学思政课，推进“学校-学段-年级”三级主题班级文化建设。文体科创成果丰硕，全年举办全学段校园足球联赛105场，学生体育竞赛省级获奖95人次、市级17人次、区级31人次；依托高校美育资源，斩获国家级赛事优秀组织奖，学生艺术类市级获奖166人次、区级837人次，多项市、区艺术节赛事斩获一、二等奖，金帆合唱团获评省级高水平合唱团。学校优化课后服务，开设19门人工智能课程，覆盖677人次，新增信息编程班，学生科创竞赛国家级获奖7人次、省级获奖120人次、市级获奖107人次，科技节参与人数达15213人次。全年获评省市级五好学生37人、优秀学生干部25人、先进班集体9个。教学成绩稳步向好，中高考整体指标较往年有所提升，分层教学模式落地见效，学校整体教学质量得到扎实提升。</w:t>
      </w:r>
    </w:p>
    <w:p w14:paraId="4BE95265">
      <w:pPr>
        <w:numPr>
          <w:ilvl w:val="0"/>
          <w:numId w:val="1"/>
        </w:numPr>
        <w:spacing w:line="600" w:lineRule="exact"/>
        <w:ind w:left="0" w:leftChars="0" w:firstLine="600" w:firstLineChars="200"/>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凝心聚力，共筑发展基石</w:t>
      </w:r>
    </w:p>
    <w:p w14:paraId="1B6E93B4">
      <w:pPr>
        <w:numPr>
          <w:ilvl w:val="0"/>
          <w:numId w:val="0"/>
        </w:numPr>
        <w:spacing w:line="60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学校聚焦内涵发展，从师资建设、家校社协同、后勤保障多维度发力，夯实办学发展根基。师资建设方面，学校开展4次线上、35次线下教师培训，落实57对师徒结对、“新芽计划”活动，覆盖64名新教师。22名教师加入各级名师工作室，邀请名校名师入校指导19次，190余人次教师外出研学，17名教师获评省市区级各类优秀师资，新增省级名师工作室1个。教师教研成果丰硕，多人斩获各级教学竞赛奖项，4项省市区级课题立项，常态化开展教学大赛、学段衔接教研等活动。协同育人层面，学校常态化开展家长开放日、家长课堂、家长会等家校活动，完善膳食监督机制；积极发挥示范辐射作用，承办省市区各级教研、研修及外事交流活动，扎实开展对口帮扶工作，全年获主流媒体正面报道56次。后勤智慧保障持续升级，学校完成校园环境、功能教室、宿舍等硬件改造，建成智慧图书馆、创客空间、65间AI数字教室等智慧办学场地，上线OA无纸化办公系统。2025年，学校获评全国中小学科学教育实验校，斩获省级育人优秀案例，入选省级美育特色学校推荐名单，高一新增3个班级、150个公办学位，以扎实成效践行“三同四共”发展理念，实现学校高质量发展。</w:t>
      </w:r>
    </w:p>
    <w:p w14:paraId="7742DE54">
      <w:pPr>
        <w:spacing w:line="600" w:lineRule="exact"/>
        <w:ind w:firstLine="600" w:firstLineChars="200"/>
        <w:rPr>
          <w:rFonts w:hint="eastAsia" w:ascii="仿宋_GB2312" w:hAnsi="仿宋_GB2312" w:eastAsia="仿宋_GB2312" w:cs="仿宋_GB2312"/>
          <w:color w:val="auto"/>
          <w:sz w:val="30"/>
          <w:szCs w:val="30"/>
          <w:lang w:val="en-US" w:eastAsia="zh-CN"/>
        </w:rPr>
      </w:pPr>
    </w:p>
    <w:p w14:paraId="3E8BC3BB">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2025年度</w:t>
      </w:r>
      <w:r>
        <w:rPr>
          <w:rFonts w:hint="eastAsia" w:ascii="黑体" w:hAnsi="黑体" w:eastAsia="黑体"/>
          <w:sz w:val="32"/>
          <w:szCs w:val="32"/>
          <w:highlight w:val="none"/>
        </w:rPr>
        <w:t>部门决算表</w:t>
      </w:r>
    </w:p>
    <w:p w14:paraId="09CC3590">
      <w:pPr>
        <w:spacing w:line="600" w:lineRule="exact"/>
        <w:ind w:firstLine="600" w:firstLineChars="200"/>
        <w:jc w:val="center"/>
        <w:outlineLvl w:val="1"/>
        <w:rPr>
          <w:rFonts w:hint="eastAsia" w:ascii="仿宋_GB2312" w:eastAsia="仿宋_GB2312"/>
          <w:sz w:val="30"/>
          <w:szCs w:val="30"/>
          <w:highlight w:val="none"/>
          <w:lang w:eastAsia="zh-CN"/>
        </w:rPr>
      </w:pPr>
      <w:r>
        <w:rPr>
          <w:rFonts w:hint="eastAsia" w:ascii="仿宋_GB2312" w:eastAsia="仿宋_GB2312"/>
          <w:sz w:val="30"/>
          <w:szCs w:val="30"/>
          <w:highlight w:val="none"/>
        </w:rPr>
        <w:t>（详见附件）</w:t>
      </w:r>
    </w:p>
    <w:p w14:paraId="52DCEF43">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_GB2312" w:eastAsia="仿宋_GB2312"/>
          <w:sz w:val="30"/>
          <w:szCs w:val="30"/>
          <w:highlight w:val="none"/>
          <w:lang w:val="en-US" w:eastAsia="zh-CN"/>
        </w:rPr>
      </w:pPr>
      <w:r>
        <w:rPr>
          <w:rFonts w:hint="eastAsia" w:ascii="仿宋_GB2312" w:eastAsia="仿宋_GB2312"/>
          <w:sz w:val="30"/>
          <w:szCs w:val="30"/>
          <w:highlight w:val="none"/>
          <w:lang w:val="en-US" w:eastAsia="zh-CN"/>
        </w:rPr>
        <w:t>本单位2025年度无政府性基金收入，《政府性基金预算财政拨款收入支出决算表》为空表。</w:t>
      </w:r>
    </w:p>
    <w:p w14:paraId="3DB32B0D">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仿宋_GB2312" w:eastAsia="仿宋_GB2312"/>
          <w:sz w:val="30"/>
          <w:szCs w:val="30"/>
          <w:highlight w:val="none"/>
          <w:lang w:eastAsia="zh-CN"/>
        </w:rPr>
      </w:pPr>
      <w:r>
        <w:rPr>
          <w:rFonts w:hint="eastAsia" w:ascii="仿宋_GB2312" w:eastAsia="仿宋_GB2312"/>
          <w:sz w:val="30"/>
          <w:szCs w:val="30"/>
          <w:highlight w:val="none"/>
          <w:lang w:val="en-US" w:eastAsia="zh-CN"/>
        </w:rPr>
        <w:t>本单位2025年度无国有资本经营预算收入，《国有资本经营预算财政拨款收入支出决算表》为空表。</w:t>
      </w:r>
    </w:p>
    <w:p w14:paraId="10E56DC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eastAsia="仿宋_GB2312"/>
          <w:sz w:val="30"/>
          <w:szCs w:val="30"/>
          <w:highlight w:val="none"/>
          <w:lang w:eastAsia="zh-CN"/>
        </w:rPr>
      </w:pPr>
    </w:p>
    <w:p w14:paraId="4ABDA11E">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第三部</w:t>
      </w:r>
      <w:r>
        <w:rPr>
          <w:rFonts w:hint="eastAsia" w:ascii="黑体" w:hAnsi="黑体" w:eastAsia="黑体"/>
          <w:sz w:val="32"/>
          <w:szCs w:val="32"/>
          <w:highlight w:val="none"/>
          <w:lang w:eastAsia="zh-CN"/>
        </w:rPr>
        <w:t>分</w:t>
      </w:r>
      <w:r>
        <w:rPr>
          <w:rFonts w:hint="eastAsia" w:ascii="黑体" w:hAnsi="黑体" w:eastAsia="黑体"/>
          <w:sz w:val="32"/>
          <w:szCs w:val="32"/>
          <w:highlight w:val="none"/>
        </w:rPr>
        <w:t xml:space="preserve">  </w:t>
      </w:r>
      <w:r>
        <w:rPr>
          <w:rFonts w:hint="eastAsia" w:ascii="黑体" w:hAnsi="黑体" w:eastAsia="黑体"/>
          <w:sz w:val="32"/>
          <w:szCs w:val="32"/>
          <w:highlight w:val="none"/>
          <w:lang w:val="en-US" w:eastAsia="zh-CN"/>
        </w:rPr>
        <w:t>2025年度</w:t>
      </w:r>
      <w:r>
        <w:rPr>
          <w:rFonts w:hint="eastAsia" w:ascii="黑体" w:hAnsi="黑体" w:eastAsia="黑体"/>
          <w:sz w:val="32"/>
          <w:szCs w:val="32"/>
          <w:highlight w:val="none"/>
        </w:rPr>
        <w:t>部门决算情况说明</w:t>
      </w:r>
    </w:p>
    <w:p w14:paraId="012387E9">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一、收入决算情况说明</w:t>
      </w:r>
    </w:p>
    <w:p w14:paraId="45A3DABC">
      <w:pPr>
        <w:keepNext w:val="0"/>
        <w:keepLines w:val="0"/>
        <w:pageBreakBefore w:val="0"/>
        <w:widowControl/>
        <w:kinsoku/>
        <w:wordWrap/>
        <w:overflowPunct/>
        <w:topLinePunct w:val="0"/>
        <w:autoSpaceDE/>
        <w:autoSpaceDN/>
        <w:bidi w:val="0"/>
        <w:adjustRightInd/>
        <w:snapToGrid w:val="0"/>
        <w:spacing w:before="100" w:after="100" w:line="600" w:lineRule="exact"/>
        <w:ind w:firstLine="539"/>
        <w:jc w:val="both"/>
        <w:textAlignment w:val="auto"/>
        <w:rPr>
          <w:rFonts w:hint="eastAsia" w:ascii="仿宋_GB2312" w:eastAsia="仿宋_GB2312"/>
          <w:sz w:val="30"/>
          <w:szCs w:val="30"/>
          <w:highlight w:val="none"/>
          <w:lang w:eastAsia="zh-CN"/>
        </w:rPr>
      </w:pPr>
      <w:r>
        <w:rPr>
          <w:rFonts w:hint="eastAsia" w:ascii="仿宋_GB2312" w:hAnsi="仿宋_GB2312" w:eastAsia="仿宋_GB2312" w:cs="仿宋_GB2312"/>
          <w:color w:val="auto"/>
          <w:sz w:val="30"/>
          <w:lang w:val="zh-CN"/>
        </w:rPr>
        <w:t>云南师范大学附属世纪金源学校</w:t>
      </w: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收入合计</w:t>
      </w:r>
      <w:r>
        <w:rPr>
          <w:rFonts w:hint="eastAsia" w:ascii="仿宋_GB2312" w:hAnsi="仿宋_GB2312" w:eastAsia="仿宋_GB2312" w:cs="仿宋_GB2312"/>
          <w:color w:val="auto"/>
          <w:sz w:val="30"/>
          <w:lang w:val="zh-CN"/>
        </w:rPr>
        <w:t>104562711.31</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。其中：财政拨款收入</w:t>
      </w:r>
      <w:r>
        <w:rPr>
          <w:rFonts w:hint="eastAsia" w:ascii="仿宋_GB2312" w:hAnsi="仿宋_GB2312" w:eastAsia="仿宋_GB2312" w:cs="仿宋_GB2312"/>
          <w:color w:val="auto"/>
          <w:sz w:val="30"/>
          <w:lang w:val="zh-CN"/>
        </w:rPr>
        <w:t>99476125.50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，占总收入的</w:t>
      </w:r>
      <w:r>
        <w:rPr>
          <w:rFonts w:hint="eastAsia" w:ascii="仿宋_GB2312" w:hAnsi="仿宋_GB2312" w:eastAsia="仿宋_GB2312" w:cs="仿宋_GB2312"/>
          <w:color w:val="auto"/>
          <w:sz w:val="30"/>
          <w:lang w:val="zh-CN"/>
        </w:rPr>
        <w:t>95.14</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无上级补助收入</w:t>
      </w:r>
      <w:r>
        <w:rPr>
          <w:rFonts w:hint="eastAsia" w:ascii="仿宋_GB2312" w:eastAsia="仿宋_GB2312"/>
          <w:sz w:val="30"/>
          <w:szCs w:val="30"/>
          <w:highlight w:val="none"/>
        </w:rPr>
        <w:t>；事业收入</w:t>
      </w:r>
      <w:r>
        <w:rPr>
          <w:rFonts w:hint="eastAsia" w:ascii="仿宋_GB2312" w:hAnsi="仿宋_GB2312" w:eastAsia="仿宋_GB2312" w:cs="仿宋_GB2312"/>
          <w:color w:val="auto"/>
          <w:sz w:val="30"/>
          <w:lang w:val="zh-CN"/>
        </w:rPr>
        <w:t>1186052.80</w:t>
      </w:r>
      <w:r>
        <w:rPr>
          <w:rFonts w:hint="eastAsia" w:ascii="仿宋_GB2312" w:eastAsia="仿宋_GB2312"/>
          <w:sz w:val="30"/>
          <w:szCs w:val="30"/>
          <w:highlight w:val="none"/>
          <w:lang w:eastAsia="zh-CN"/>
        </w:rPr>
        <w:t>元（含教育收费</w:t>
      </w:r>
      <w:r>
        <w:rPr>
          <w:rFonts w:hint="eastAsia" w:ascii="仿宋_GB2312" w:hAnsi="仿宋_GB2312" w:eastAsia="仿宋_GB2312" w:cs="仿宋_GB2312"/>
          <w:color w:val="auto"/>
          <w:sz w:val="30"/>
          <w:lang w:val="zh-CN"/>
        </w:rPr>
        <w:t>1186052.80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，占总收入的</w:t>
      </w:r>
      <w:r>
        <w:rPr>
          <w:rFonts w:hint="eastAsia" w:ascii="仿宋_GB2312" w:hAnsi="仿宋_GB2312" w:eastAsia="仿宋_GB2312" w:cs="仿宋_GB2312"/>
          <w:color w:val="auto"/>
          <w:sz w:val="30"/>
          <w:lang w:val="zh-CN"/>
        </w:rPr>
        <w:t>1.13</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无经营收入</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w:t>
      </w:r>
      <w:r>
        <w:rPr>
          <w:rFonts w:hint="eastAsia" w:ascii="仿宋_GB2312" w:eastAsia="仿宋_GB2312"/>
          <w:sz w:val="30"/>
          <w:szCs w:val="30"/>
          <w:highlight w:val="none"/>
        </w:rPr>
        <w:t>附属单位</w:t>
      </w:r>
      <w:r>
        <w:rPr>
          <w:rFonts w:hint="eastAsia" w:ascii="仿宋_GB2312" w:eastAsia="仿宋_GB2312"/>
          <w:sz w:val="30"/>
          <w:szCs w:val="30"/>
          <w:highlight w:val="none"/>
          <w:lang w:eastAsia="zh-CN"/>
        </w:rPr>
        <w:t>上缴</w:t>
      </w:r>
      <w:r>
        <w:rPr>
          <w:rFonts w:hint="eastAsia" w:ascii="仿宋_GB2312" w:eastAsia="仿宋_GB2312"/>
          <w:sz w:val="30"/>
          <w:szCs w:val="30"/>
          <w:highlight w:val="none"/>
        </w:rPr>
        <w:t>收入；其他收入</w:t>
      </w:r>
      <w:r>
        <w:rPr>
          <w:rFonts w:hint="eastAsia" w:ascii="仿宋_GB2312" w:hAnsi="仿宋_GB2312" w:eastAsia="仿宋_GB2312" w:cs="仿宋_GB2312"/>
          <w:color w:val="auto"/>
          <w:sz w:val="30"/>
          <w:lang w:val="zh-CN"/>
        </w:rPr>
        <w:t>3900533.01</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，占总收入的</w:t>
      </w:r>
      <w:r>
        <w:rPr>
          <w:rFonts w:hint="eastAsia" w:ascii="仿宋_GB2312" w:hAnsi="仿宋_GB2312" w:eastAsia="仿宋_GB2312" w:cs="仿宋_GB2312"/>
          <w:color w:val="auto"/>
          <w:sz w:val="30"/>
          <w:lang w:val="zh-CN"/>
        </w:rPr>
        <w:t>3.73</w:t>
      </w:r>
      <w:r>
        <w:rPr>
          <w:rFonts w:hint="eastAsia" w:ascii="仿宋_GB2312" w:eastAsia="仿宋_GB2312"/>
          <w:sz w:val="30"/>
          <w:szCs w:val="30"/>
          <w:highlight w:val="none"/>
        </w:rPr>
        <w:t>%。</w:t>
      </w:r>
    </w:p>
    <w:p w14:paraId="1FD29FA1">
      <w:pPr>
        <w:keepNext w:val="0"/>
        <w:keepLines w:val="0"/>
        <w:pageBreakBefore w:val="0"/>
        <w:widowControl/>
        <w:kinsoku/>
        <w:wordWrap/>
        <w:overflowPunct/>
        <w:topLinePunct w:val="0"/>
        <w:autoSpaceDE/>
        <w:autoSpaceDN/>
        <w:bidi w:val="0"/>
        <w:adjustRightInd/>
        <w:snapToGrid w:val="0"/>
        <w:spacing w:before="100" w:after="100" w:line="600" w:lineRule="exact"/>
        <w:ind w:firstLine="539"/>
        <w:jc w:val="both"/>
        <w:textAlignment w:val="auto"/>
        <w:rPr>
          <w:rFonts w:hint="eastAsia" w:ascii="仿宋_GB2312" w:hAnsi="宋体" w:eastAsia="仿宋_GB2312" w:cs="Arial"/>
          <w:color w:val="FF0000"/>
          <w:kern w:val="0"/>
          <w:sz w:val="30"/>
          <w:szCs w:val="30"/>
          <w:highlight w:val="none"/>
        </w:rPr>
      </w:pPr>
      <w:r>
        <w:rPr>
          <w:rFonts w:hint="eastAsia" w:ascii="仿宋_GB2312" w:eastAsia="仿宋_GB2312"/>
          <w:sz w:val="30"/>
          <w:szCs w:val="30"/>
          <w:highlight w:val="none"/>
        </w:rPr>
        <w:t>与上年</w:t>
      </w:r>
      <w:r>
        <w:rPr>
          <w:rFonts w:hint="eastAsia" w:ascii="仿宋_GB2312" w:eastAsia="仿宋_GB2312"/>
          <w:sz w:val="30"/>
          <w:szCs w:val="30"/>
          <w:highlight w:val="none"/>
          <w:lang w:eastAsia="zh-CN"/>
        </w:rPr>
        <w:t>相比，</w:t>
      </w:r>
      <w:r>
        <w:rPr>
          <w:rFonts w:hint="eastAsia" w:ascii="仿宋_GB2312" w:eastAsia="仿宋_GB2312"/>
          <w:sz w:val="30"/>
          <w:szCs w:val="30"/>
          <w:highlight w:val="none"/>
        </w:rPr>
        <w:t>收入合计</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9939161.80</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10.50</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w:t>
      </w:r>
      <w:r>
        <w:rPr>
          <w:rFonts w:hint="eastAsia" w:ascii="仿宋_GB2312" w:eastAsia="仿宋_GB2312"/>
          <w:sz w:val="30"/>
          <w:szCs w:val="30"/>
          <w:highlight w:val="none"/>
        </w:rPr>
        <w:t>财政拨款收入</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9876190.91</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11.02</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w:t>
      </w:r>
      <w:r>
        <w:rPr>
          <w:rFonts w:hint="eastAsia" w:ascii="仿宋_GB2312" w:eastAsia="仿宋_GB2312"/>
          <w:sz w:val="30"/>
          <w:szCs w:val="30"/>
          <w:highlight w:val="none"/>
        </w:rPr>
        <w:t>上级补助收入</w:t>
      </w:r>
      <w:r>
        <w:rPr>
          <w:rFonts w:hint="eastAsia" w:ascii="仿宋_GB2312" w:eastAsia="仿宋_GB2312"/>
          <w:sz w:val="30"/>
          <w:szCs w:val="30"/>
          <w:highlight w:val="none"/>
          <w:lang w:eastAsia="zh-CN"/>
        </w:rPr>
        <w:t>；事业收入</w:t>
      </w:r>
      <w:r>
        <w:rPr>
          <w:rFonts w:hint="eastAsia" w:ascii="仿宋_GB2312" w:eastAsia="仿宋_GB2312"/>
          <w:sz w:val="30"/>
          <w:szCs w:val="30"/>
          <w:highlight w:val="none"/>
          <w:lang w:val="en-US" w:eastAsia="zh-CN"/>
        </w:rPr>
        <w:t>减少</w:t>
      </w:r>
      <w:r>
        <w:rPr>
          <w:rFonts w:hint="eastAsia" w:ascii="仿宋_GB2312" w:hAnsi="仿宋_GB2312" w:eastAsia="仿宋_GB2312" w:cs="仿宋_GB2312"/>
          <w:color w:val="auto"/>
          <w:sz w:val="30"/>
          <w:lang w:val="zh-CN"/>
        </w:rPr>
        <w:t>371986.20</w:t>
      </w:r>
      <w:r>
        <w:rPr>
          <w:rFonts w:hint="eastAsia" w:ascii="仿宋_GB2312" w:eastAsia="仿宋_GB2312"/>
          <w:sz w:val="30"/>
          <w:szCs w:val="30"/>
          <w:highlight w:val="none"/>
          <w:lang w:eastAsia="zh-CN"/>
        </w:rPr>
        <w:t>元，</w:t>
      </w:r>
      <w:r>
        <w:rPr>
          <w:rFonts w:hint="eastAsia" w:ascii="仿宋_GB2312" w:eastAsia="仿宋_GB2312"/>
          <w:sz w:val="30"/>
          <w:szCs w:val="30"/>
          <w:highlight w:val="none"/>
          <w:lang w:val="en-US" w:eastAsia="zh-CN"/>
        </w:rPr>
        <w:t>下降</w:t>
      </w:r>
      <w:r>
        <w:rPr>
          <w:rFonts w:hint="eastAsia" w:ascii="仿宋_GB2312" w:hAnsi="仿宋_GB2312" w:eastAsia="仿宋_GB2312" w:cs="仿宋_GB2312"/>
          <w:color w:val="auto"/>
          <w:sz w:val="30"/>
          <w:lang w:val="zh-CN"/>
        </w:rPr>
        <w:t>23.88</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；无经营收入；无附属单位上缴收入；其他收入增加</w:t>
      </w:r>
      <w:r>
        <w:rPr>
          <w:rFonts w:hint="eastAsia" w:ascii="仿宋_GB2312" w:hAnsi="仿宋_GB2312" w:eastAsia="仿宋_GB2312" w:cs="仿宋_GB2312"/>
          <w:color w:val="auto"/>
          <w:sz w:val="30"/>
          <w:lang w:val="zh-CN"/>
        </w:rPr>
        <w:t>434957.09</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12.55</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w:t>
      </w:r>
      <w:r>
        <w:rPr>
          <w:rFonts w:hint="eastAsia" w:ascii="仿宋_GB2312" w:eastAsia="仿宋_GB2312"/>
          <w:sz w:val="30"/>
          <w:szCs w:val="30"/>
          <w:highlight w:val="none"/>
        </w:rPr>
        <w:t>主要原因</w:t>
      </w:r>
      <w:r>
        <w:rPr>
          <w:rFonts w:hint="eastAsia" w:ascii="仿宋_GB2312" w:eastAsia="仿宋_GB2312"/>
          <w:sz w:val="30"/>
          <w:szCs w:val="30"/>
          <w:highlight w:val="none"/>
          <w:lang w:eastAsia="zh-CN"/>
        </w:rPr>
        <w:t>是：</w:t>
      </w:r>
      <w:r>
        <w:rPr>
          <w:rFonts w:hint="eastAsia" w:ascii="仿宋_GB2312" w:eastAsia="仿宋_GB2312"/>
          <w:sz w:val="30"/>
          <w:szCs w:val="30"/>
          <w:highlight w:val="none"/>
          <w:lang w:val="en-US" w:eastAsia="zh-CN"/>
        </w:rPr>
        <w:t>1.财政拨款收入增加主要是本年度增加了基础教育综合奖补专项资金和数字校园建设项目资金。2.事业收入减少是由于我单位2024年包含了2023年度我单位上缴未申请返还的部分，2025年仅为本年度收取的部分。3.其他收入增加是由于2025年我校幼儿园伙食费收费标准上调，故幼儿园伙食费收入增加。</w:t>
      </w:r>
    </w:p>
    <w:p w14:paraId="2EB13AF9">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二、支出决算情况说明</w:t>
      </w:r>
    </w:p>
    <w:p w14:paraId="23536FB9">
      <w:pPr>
        <w:spacing w:line="600" w:lineRule="exact"/>
        <w:ind w:firstLine="600" w:firstLineChars="200"/>
        <w:rPr>
          <w:rFonts w:hint="eastAsia" w:ascii="仿宋_GB2312" w:hAnsi="宋体" w:eastAsia="仿宋_GB2312" w:cs="Arial"/>
          <w:kern w:val="0"/>
          <w:sz w:val="30"/>
          <w:szCs w:val="30"/>
          <w:highlight w:val="none"/>
        </w:rPr>
      </w:pPr>
      <w:r>
        <w:rPr>
          <w:rFonts w:hint="eastAsia" w:ascii="仿宋_GB2312" w:hAnsi="仿宋_GB2312" w:eastAsia="仿宋_GB2312" w:cs="仿宋_GB2312"/>
          <w:color w:val="auto"/>
          <w:sz w:val="30"/>
          <w:lang w:val="zh-CN"/>
        </w:rPr>
        <w:t>云南师范大学附属世纪金源学校</w:t>
      </w: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支出合计</w:t>
      </w:r>
      <w:r>
        <w:rPr>
          <w:rFonts w:hint="eastAsia" w:ascii="仿宋_GB2312" w:hAnsi="仿宋_GB2312" w:eastAsia="仿宋_GB2312" w:cs="仿宋_GB2312"/>
          <w:color w:val="auto"/>
          <w:sz w:val="30"/>
          <w:lang w:val="zh-CN"/>
        </w:rPr>
        <w:t>102947998.19</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。其中：</w:t>
      </w:r>
      <w:r>
        <w:rPr>
          <w:rFonts w:hint="eastAsia" w:ascii="仿宋_GB2312" w:hAnsi="宋体" w:eastAsia="仿宋_GB2312" w:cs="Arial"/>
          <w:kern w:val="0"/>
          <w:sz w:val="30"/>
          <w:szCs w:val="30"/>
          <w:highlight w:val="none"/>
        </w:rPr>
        <w:t>基本支出</w:t>
      </w:r>
      <w:r>
        <w:rPr>
          <w:rFonts w:hint="eastAsia" w:ascii="仿宋_GB2312" w:hAnsi="仿宋_GB2312" w:eastAsia="仿宋_GB2312" w:cs="仿宋_GB2312"/>
          <w:color w:val="auto"/>
          <w:sz w:val="30"/>
          <w:lang w:val="zh-CN"/>
        </w:rPr>
        <w:t>80171838.47</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，占总支出的</w:t>
      </w:r>
      <w:r>
        <w:rPr>
          <w:rFonts w:hint="eastAsia" w:ascii="仿宋_GB2312" w:hAnsi="仿宋_GB2312" w:eastAsia="仿宋_GB2312" w:cs="仿宋_GB2312"/>
          <w:color w:val="auto"/>
          <w:sz w:val="30"/>
          <w:lang w:val="zh-CN"/>
        </w:rPr>
        <w:t>77.88</w:t>
      </w:r>
      <w:r>
        <w:rPr>
          <w:rFonts w:hint="eastAsia" w:ascii="仿宋_GB2312" w:hAnsi="宋体" w:eastAsia="仿宋_GB2312" w:cs="Arial"/>
          <w:kern w:val="0"/>
          <w:sz w:val="30"/>
          <w:szCs w:val="30"/>
          <w:highlight w:val="none"/>
        </w:rPr>
        <w:t>％；项目支出</w:t>
      </w:r>
      <w:r>
        <w:rPr>
          <w:rFonts w:hint="eastAsia" w:ascii="仿宋_GB2312" w:hAnsi="仿宋_GB2312" w:eastAsia="仿宋_GB2312" w:cs="仿宋_GB2312"/>
          <w:color w:val="auto"/>
          <w:sz w:val="30"/>
          <w:lang w:val="zh-CN"/>
        </w:rPr>
        <w:t>22776159.72</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，占总支出的</w:t>
      </w:r>
      <w:r>
        <w:rPr>
          <w:rFonts w:hint="eastAsia" w:ascii="仿宋_GB2312" w:hAnsi="仿宋_GB2312" w:eastAsia="仿宋_GB2312" w:cs="仿宋_GB2312"/>
          <w:color w:val="auto"/>
          <w:sz w:val="30"/>
          <w:lang w:val="zh-CN"/>
        </w:rPr>
        <w:t>22.12</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无</w:t>
      </w:r>
      <w:r>
        <w:rPr>
          <w:rFonts w:hint="eastAsia" w:ascii="仿宋_GB2312" w:hAnsi="宋体" w:eastAsia="仿宋_GB2312" w:cs="Arial"/>
          <w:kern w:val="0"/>
          <w:sz w:val="30"/>
          <w:szCs w:val="30"/>
          <w:highlight w:val="none"/>
        </w:rPr>
        <w:t>上缴上级支出；</w:t>
      </w:r>
      <w:r>
        <w:rPr>
          <w:rFonts w:hint="eastAsia" w:ascii="仿宋_GB2312" w:hAnsi="宋体" w:eastAsia="仿宋_GB2312" w:cs="Arial"/>
          <w:kern w:val="0"/>
          <w:sz w:val="30"/>
          <w:szCs w:val="30"/>
          <w:highlight w:val="none"/>
          <w:lang w:eastAsia="zh-CN"/>
        </w:rPr>
        <w:t>无</w:t>
      </w:r>
      <w:r>
        <w:rPr>
          <w:rFonts w:hint="eastAsia" w:ascii="仿宋_GB2312" w:hAnsi="宋体" w:eastAsia="仿宋_GB2312" w:cs="Arial"/>
          <w:kern w:val="0"/>
          <w:sz w:val="30"/>
          <w:szCs w:val="30"/>
          <w:highlight w:val="none"/>
        </w:rPr>
        <w:t>经营支出；</w:t>
      </w:r>
      <w:r>
        <w:rPr>
          <w:rFonts w:hint="eastAsia" w:ascii="仿宋_GB2312" w:hAnsi="宋体" w:eastAsia="仿宋_GB2312" w:cs="Arial"/>
          <w:kern w:val="0"/>
          <w:sz w:val="30"/>
          <w:szCs w:val="30"/>
          <w:highlight w:val="none"/>
          <w:lang w:eastAsia="zh-CN"/>
        </w:rPr>
        <w:t>无</w:t>
      </w:r>
      <w:r>
        <w:rPr>
          <w:rFonts w:hint="eastAsia" w:ascii="仿宋_GB2312" w:hAnsi="宋体" w:eastAsia="仿宋_GB2312" w:cs="Arial"/>
          <w:kern w:val="0"/>
          <w:sz w:val="30"/>
          <w:szCs w:val="30"/>
          <w:highlight w:val="none"/>
        </w:rPr>
        <w:t>对附属单位补助支出。</w:t>
      </w:r>
    </w:p>
    <w:p w14:paraId="69A4C406">
      <w:pPr>
        <w:spacing w:line="600" w:lineRule="exact"/>
        <w:ind w:firstLine="600" w:firstLineChars="200"/>
        <w:rPr>
          <w:rFonts w:hint="eastAsia" w:ascii="仿宋_GB2312" w:eastAsia="仿宋_GB2312"/>
          <w:color w:val="FF0000"/>
          <w:sz w:val="30"/>
          <w:szCs w:val="30"/>
          <w:highlight w:val="none"/>
        </w:rPr>
      </w:pPr>
      <w:r>
        <w:rPr>
          <w:rFonts w:hint="eastAsia" w:ascii="仿宋_GB2312" w:eastAsia="仿宋_GB2312"/>
          <w:sz w:val="30"/>
          <w:szCs w:val="30"/>
          <w:highlight w:val="none"/>
        </w:rPr>
        <w:t>与上年</w:t>
      </w:r>
      <w:r>
        <w:rPr>
          <w:rFonts w:hint="eastAsia" w:ascii="仿宋_GB2312" w:eastAsia="仿宋_GB2312"/>
          <w:sz w:val="30"/>
          <w:szCs w:val="30"/>
          <w:highlight w:val="none"/>
          <w:lang w:eastAsia="zh-CN"/>
        </w:rPr>
        <w:t>相比，支出</w:t>
      </w:r>
      <w:r>
        <w:rPr>
          <w:rFonts w:hint="eastAsia" w:ascii="仿宋_GB2312" w:eastAsia="仿宋_GB2312"/>
          <w:sz w:val="30"/>
          <w:szCs w:val="30"/>
          <w:highlight w:val="none"/>
        </w:rPr>
        <w:t>合计</w:t>
      </w:r>
      <w:r>
        <w:rPr>
          <w:rFonts w:hint="eastAsia" w:ascii="仿宋_GB2312" w:eastAsia="仿宋_GB2312"/>
          <w:sz w:val="30"/>
          <w:szCs w:val="30"/>
          <w:highlight w:val="none"/>
          <w:lang w:eastAsia="zh-CN"/>
        </w:rPr>
        <w:t>增加</w:t>
      </w:r>
      <w:r>
        <w:rPr>
          <w:rFonts w:hint="eastAsia" w:ascii="仿宋_GB2312" w:hAnsi="仿宋_GB2312" w:eastAsia="仿宋_GB2312" w:cs="仿宋_GB2312"/>
          <w:color w:val="auto"/>
          <w:sz w:val="30"/>
          <w:lang w:val="zh-CN"/>
        </w:rPr>
        <w:t>10670562.10</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11.56</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w:t>
      </w:r>
      <w:r>
        <w:rPr>
          <w:rFonts w:hint="eastAsia" w:ascii="仿宋_GB2312" w:hAnsi="宋体" w:eastAsia="仿宋_GB2312" w:cs="Arial"/>
          <w:kern w:val="0"/>
          <w:sz w:val="30"/>
          <w:szCs w:val="30"/>
          <w:highlight w:val="none"/>
        </w:rPr>
        <w:t>基本支出</w:t>
      </w:r>
      <w:r>
        <w:rPr>
          <w:rFonts w:hint="eastAsia" w:ascii="仿宋_GB2312" w:eastAsia="仿宋_GB2312"/>
          <w:sz w:val="30"/>
          <w:szCs w:val="30"/>
          <w:highlight w:val="none"/>
          <w:lang w:val="en-US" w:eastAsia="zh-CN"/>
        </w:rPr>
        <w:t>减少</w:t>
      </w:r>
      <w:r>
        <w:rPr>
          <w:rFonts w:hint="eastAsia" w:ascii="仿宋_GB2312" w:hAnsi="仿宋_GB2312" w:eastAsia="仿宋_GB2312" w:cs="仿宋_GB2312"/>
          <w:color w:val="auto"/>
          <w:sz w:val="30"/>
          <w:lang w:val="zh-CN"/>
        </w:rPr>
        <w:t>1714544.49</w:t>
      </w:r>
      <w:r>
        <w:rPr>
          <w:rFonts w:hint="eastAsia" w:ascii="仿宋_GB2312" w:eastAsia="仿宋_GB2312"/>
          <w:sz w:val="30"/>
          <w:szCs w:val="30"/>
          <w:highlight w:val="none"/>
          <w:lang w:eastAsia="zh-CN"/>
        </w:rPr>
        <w:t>元，</w:t>
      </w:r>
      <w:r>
        <w:rPr>
          <w:rFonts w:hint="eastAsia" w:ascii="仿宋_GB2312" w:eastAsia="仿宋_GB2312"/>
          <w:sz w:val="30"/>
          <w:szCs w:val="30"/>
          <w:highlight w:val="none"/>
          <w:lang w:val="en-US" w:eastAsia="zh-CN"/>
        </w:rPr>
        <w:t>下降</w:t>
      </w:r>
      <w:r>
        <w:rPr>
          <w:rFonts w:hint="eastAsia" w:ascii="仿宋_GB2312" w:hAnsi="仿宋_GB2312" w:eastAsia="仿宋_GB2312" w:cs="仿宋_GB2312"/>
          <w:color w:val="auto"/>
          <w:sz w:val="30"/>
          <w:lang w:val="zh-CN"/>
        </w:rPr>
        <w:t>2.09</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；项目支出增加</w:t>
      </w:r>
      <w:r>
        <w:rPr>
          <w:rFonts w:hint="eastAsia" w:ascii="仿宋_GB2312" w:hAnsi="仿宋_GB2312" w:eastAsia="仿宋_GB2312" w:cs="仿宋_GB2312"/>
          <w:color w:val="auto"/>
          <w:sz w:val="30"/>
          <w:lang w:val="zh-CN"/>
        </w:rPr>
        <w:t>12385106.59</w:t>
      </w:r>
      <w:r>
        <w:rPr>
          <w:rFonts w:hint="eastAsia" w:ascii="仿宋_GB2312" w:eastAsia="仿宋_GB2312"/>
          <w:sz w:val="30"/>
          <w:szCs w:val="30"/>
          <w:highlight w:val="none"/>
          <w:lang w:eastAsia="zh-CN"/>
        </w:rPr>
        <w:t>元，增长</w:t>
      </w:r>
      <w:r>
        <w:rPr>
          <w:rFonts w:hint="eastAsia" w:ascii="仿宋_GB2312" w:hAnsi="仿宋_GB2312" w:eastAsia="仿宋_GB2312" w:cs="仿宋_GB2312"/>
          <w:color w:val="auto"/>
          <w:sz w:val="30"/>
          <w:lang w:val="zh-CN"/>
        </w:rPr>
        <w:t>119.19</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；无上缴上级支出；无经营支出；无对附属单位补助支出。</w:t>
      </w:r>
      <w:r>
        <w:rPr>
          <w:rFonts w:hint="eastAsia" w:ascii="仿宋_GB2312" w:eastAsia="仿宋_GB2312"/>
          <w:sz w:val="30"/>
          <w:szCs w:val="30"/>
          <w:highlight w:val="none"/>
        </w:rPr>
        <w:t>主要原因</w:t>
      </w:r>
      <w:r>
        <w:rPr>
          <w:rFonts w:hint="eastAsia" w:ascii="仿宋_GB2312" w:eastAsia="仿宋_GB2312"/>
          <w:sz w:val="30"/>
          <w:szCs w:val="30"/>
          <w:highlight w:val="none"/>
          <w:lang w:eastAsia="zh-CN"/>
        </w:rPr>
        <w:t>是：</w:t>
      </w:r>
      <w:r>
        <w:rPr>
          <w:rFonts w:hint="eastAsia" w:ascii="仿宋_GB2312" w:eastAsia="仿宋_GB2312"/>
          <w:sz w:val="30"/>
          <w:szCs w:val="30"/>
          <w:highlight w:val="none"/>
          <w:lang w:val="en-US" w:eastAsia="zh-CN"/>
        </w:rPr>
        <w:t>1.基本支出减少一是由于我单位2024年退休17人，离职2人，故2025年相应的工资、保险等人员支出减少，二是公用经费预算相较2024年缩减，故相应的支出减少；三是单位资金中课后服务费收入减少，故对应的支出减少。2.项目支出增加是由于相较2024年增加了基础教育综合奖补专项资金和数字校园建设项目资金支出</w:t>
      </w:r>
      <w:r>
        <w:rPr>
          <w:rFonts w:hint="eastAsia" w:ascii="仿宋_GB2312" w:eastAsia="仿宋_GB2312"/>
          <w:sz w:val="30"/>
          <w:szCs w:val="30"/>
          <w:highlight w:val="none"/>
        </w:rPr>
        <w:t>。</w:t>
      </w:r>
    </w:p>
    <w:p w14:paraId="3846D913">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（一）基本支出情况</w:t>
      </w:r>
    </w:p>
    <w:p w14:paraId="3E08D973">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eastAsia="仿宋_GB2312"/>
          <w:color w:val="FF0000"/>
          <w:sz w:val="30"/>
          <w:szCs w:val="30"/>
          <w:highlight w:val="none"/>
        </w:rPr>
      </w:pPr>
      <w:r>
        <w:rPr>
          <w:rFonts w:hint="eastAsia" w:ascii="仿宋_GB2312" w:hAnsi="仿宋_GB2312" w:eastAsia="仿宋_GB2312" w:cs="仿宋_GB2312"/>
          <w:sz w:val="30"/>
          <w:szCs w:val="30"/>
          <w:highlight w:val="none"/>
          <w:lang w:val="en-US" w:eastAsia="zh-CN"/>
        </w:rPr>
        <w:t>2025年度</w:t>
      </w:r>
      <w:r>
        <w:rPr>
          <w:rFonts w:hint="eastAsia" w:ascii="仿宋_GB2312" w:hAnsi="仿宋_GB2312" w:eastAsia="仿宋_GB2312" w:cs="仿宋_GB2312"/>
          <w:sz w:val="30"/>
          <w:szCs w:val="30"/>
          <w:highlight w:val="none"/>
        </w:rPr>
        <w:t>用于保障</w:t>
      </w:r>
      <w:r>
        <w:rPr>
          <w:rFonts w:hint="eastAsia" w:ascii="仿宋_GB2312" w:hAnsi="仿宋_GB2312" w:eastAsia="仿宋_GB2312" w:cs="仿宋_GB2312"/>
          <w:color w:val="auto"/>
          <w:sz w:val="30"/>
          <w:lang w:val="zh-CN"/>
        </w:rPr>
        <w:t>云南师范大学附属世纪金源学校</w:t>
      </w:r>
      <w:r>
        <w:rPr>
          <w:rFonts w:hint="eastAsia" w:ascii="仿宋_GB2312" w:hAnsi="仿宋_GB2312" w:eastAsia="仿宋_GB2312" w:cs="仿宋_GB2312"/>
          <w:sz w:val="30"/>
          <w:szCs w:val="30"/>
          <w:highlight w:val="none"/>
        </w:rPr>
        <w:t>机构正常运转的日常支出</w:t>
      </w:r>
      <w:r>
        <w:rPr>
          <w:rFonts w:hint="eastAsia" w:ascii="仿宋_GB2312" w:hAnsi="仿宋_GB2312" w:eastAsia="仿宋_GB2312" w:cs="仿宋_GB2312"/>
          <w:color w:val="auto"/>
          <w:sz w:val="30"/>
          <w:lang w:val="zh-CN"/>
        </w:rPr>
        <w:t>80171838.47</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eastAsia="zh-CN"/>
        </w:rPr>
        <w:t>其中：</w:t>
      </w:r>
      <w:r>
        <w:rPr>
          <w:rFonts w:hint="eastAsia" w:ascii="仿宋_GB2312" w:hAnsi="仿宋_GB2312" w:eastAsia="仿宋_GB2312" w:cs="仿宋_GB2312"/>
          <w:sz w:val="30"/>
          <w:szCs w:val="30"/>
          <w:highlight w:val="none"/>
        </w:rPr>
        <w:t>基本工资、津贴补贴等人员经费支出</w:t>
      </w:r>
      <w:r>
        <w:rPr>
          <w:rFonts w:hint="eastAsia" w:ascii="仿宋_GB2312" w:hAnsi="仿宋_GB2312" w:eastAsia="仿宋_GB2312" w:cs="仿宋_GB2312"/>
          <w:color w:val="auto"/>
          <w:sz w:val="30"/>
          <w:lang w:val="zh-CN"/>
        </w:rPr>
        <w:t>76206548.18</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占基本支出的</w:t>
      </w:r>
      <w:r>
        <w:rPr>
          <w:rFonts w:hint="eastAsia" w:ascii="仿宋_GB2312" w:hAnsi="仿宋_GB2312" w:eastAsia="仿宋_GB2312" w:cs="仿宋_GB2312"/>
          <w:color w:val="auto"/>
          <w:sz w:val="30"/>
          <w:lang w:val="zh-CN"/>
        </w:rPr>
        <w:t>95.05</w:t>
      </w:r>
      <w:r>
        <w:rPr>
          <w:rFonts w:hint="eastAsia" w:ascii="仿宋_GB2312" w:hAnsi="仿宋_GB2312" w:eastAsia="仿宋_GB2312" w:cs="仿宋_GB2312"/>
          <w:sz w:val="30"/>
          <w:szCs w:val="30"/>
          <w:highlight w:val="none"/>
        </w:rPr>
        <w:t>％；办公费、印刷费、水电费、办公设备购置等公用经费</w:t>
      </w:r>
      <w:r>
        <w:rPr>
          <w:rFonts w:hint="eastAsia" w:ascii="仿宋_GB2312" w:hAnsi="仿宋_GB2312" w:eastAsia="仿宋_GB2312" w:cs="仿宋_GB2312"/>
          <w:color w:val="auto"/>
          <w:sz w:val="30"/>
          <w:lang w:val="zh-CN"/>
        </w:rPr>
        <w:t>3965290.29</w:t>
      </w:r>
      <w:r>
        <w:rPr>
          <w:rFonts w:hint="eastAsia" w:ascii="仿宋_GB2312" w:hAnsi="仿宋_GB2312" w:eastAsia="仿宋_GB2312" w:cs="仿宋_GB2312"/>
          <w:sz w:val="30"/>
          <w:szCs w:val="30"/>
          <w:highlight w:val="none"/>
          <w:lang w:eastAsia="zh-CN"/>
        </w:rPr>
        <w:t>元，</w:t>
      </w:r>
      <w:r>
        <w:rPr>
          <w:rFonts w:hint="eastAsia" w:ascii="仿宋_GB2312" w:hAnsi="仿宋_GB2312" w:eastAsia="仿宋_GB2312" w:cs="仿宋_GB2312"/>
          <w:sz w:val="30"/>
          <w:szCs w:val="30"/>
          <w:highlight w:val="none"/>
        </w:rPr>
        <w:t>占基本支出的</w:t>
      </w:r>
      <w:r>
        <w:rPr>
          <w:rFonts w:hint="eastAsia" w:ascii="仿宋_GB2312" w:hAnsi="仿宋_GB2312" w:eastAsia="仿宋_GB2312" w:cs="仿宋_GB2312"/>
          <w:color w:val="auto"/>
          <w:sz w:val="30"/>
          <w:lang w:val="zh-CN"/>
        </w:rPr>
        <w:t>4.95</w:t>
      </w:r>
      <w:r>
        <w:rPr>
          <w:rFonts w:hint="eastAsia" w:ascii="仿宋_GB2312" w:hAnsi="仿宋_GB2312" w:eastAsia="仿宋_GB2312" w:cs="仿宋_GB2312"/>
          <w:sz w:val="30"/>
          <w:szCs w:val="30"/>
          <w:highlight w:val="none"/>
        </w:rPr>
        <w:t>％。</w:t>
      </w:r>
    </w:p>
    <w:p w14:paraId="31871BDF">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（二）项目支出情况</w:t>
      </w:r>
    </w:p>
    <w:p w14:paraId="38ADD26A">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eastAsia="仿宋_GB2312"/>
          <w:sz w:val="30"/>
          <w:szCs w:val="30"/>
          <w:highlight w:val="none"/>
        </w:rPr>
      </w:pP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用于保障</w:t>
      </w:r>
      <w:r>
        <w:rPr>
          <w:rFonts w:hint="eastAsia" w:ascii="仿宋_GB2312" w:hAnsi="仿宋_GB2312" w:eastAsia="仿宋_GB2312" w:cs="仿宋_GB2312"/>
          <w:color w:val="auto"/>
          <w:sz w:val="30"/>
          <w:lang w:val="zh-CN"/>
        </w:rPr>
        <w:t>云南师范大学附属世纪金源学校</w:t>
      </w:r>
      <w:r>
        <w:rPr>
          <w:rFonts w:hint="eastAsia" w:ascii="仿宋_GB2312" w:eastAsia="仿宋_GB2312"/>
          <w:sz w:val="30"/>
          <w:szCs w:val="30"/>
          <w:highlight w:val="none"/>
        </w:rPr>
        <w:t>为完成特定的行政工作任务或事业发展目标，用于专项业务工作的经费支出</w:t>
      </w:r>
      <w:r>
        <w:rPr>
          <w:rFonts w:hint="eastAsia" w:ascii="仿宋_GB2312" w:hAnsi="仿宋_GB2312" w:eastAsia="仿宋_GB2312" w:cs="仿宋_GB2312"/>
          <w:color w:val="auto"/>
          <w:sz w:val="30"/>
          <w:lang w:val="zh-CN"/>
        </w:rPr>
        <w:t>22776159.72</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其中：基本建设类项目支出</w:t>
      </w:r>
      <w:r>
        <w:rPr>
          <w:rFonts w:hint="eastAsia" w:ascii="仿宋_GB2312" w:hAnsi="仿宋_GB2312" w:eastAsia="仿宋_GB2312" w:cs="仿宋_GB2312"/>
          <w:color w:val="auto"/>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w:t>
      </w:r>
    </w:p>
    <w:p w14:paraId="09730BE9">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hAnsi="Times New Roman" w:eastAsia="仿宋_GB2312" w:cs="Times New Roman"/>
          <w:sz w:val="30"/>
          <w:szCs w:val="30"/>
          <w:highlight w:val="none"/>
          <w:lang w:val="en-US" w:eastAsia="zh-CN"/>
        </w:rPr>
      </w:pPr>
      <w:r>
        <w:rPr>
          <w:rFonts w:hint="eastAsia" w:ascii="仿宋_GB2312" w:hAnsi="Times New Roman" w:eastAsia="仿宋_GB2312" w:cs="Times New Roman"/>
          <w:sz w:val="30"/>
          <w:szCs w:val="30"/>
          <w:highlight w:val="none"/>
          <w:lang w:val="en-US" w:eastAsia="zh-CN"/>
        </w:rPr>
        <w:t>重点项目明细及用途如下：</w:t>
      </w:r>
    </w:p>
    <w:p w14:paraId="07289669">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hAnsi="Times New Roman" w:eastAsia="仿宋_GB2312" w:cs="Times New Roman"/>
          <w:sz w:val="30"/>
          <w:szCs w:val="30"/>
          <w:highlight w:val="none"/>
          <w:lang w:val="en-US" w:eastAsia="zh-CN"/>
        </w:rPr>
      </w:pPr>
      <w:r>
        <w:rPr>
          <w:rFonts w:hint="eastAsia" w:ascii="仿宋_GB2312" w:hAnsi="Times New Roman" w:eastAsia="仿宋_GB2312" w:cs="Times New Roman"/>
          <w:sz w:val="30"/>
          <w:szCs w:val="30"/>
          <w:highlight w:val="none"/>
          <w:lang w:val="en-US" w:eastAsia="zh-CN"/>
        </w:rPr>
        <w:t>提前下达2025年城乡义务教育补助（中央）经费2626705.11元，主要用于</w:t>
      </w:r>
      <w:r>
        <w:rPr>
          <w:rFonts w:hint="eastAsia" w:ascii="仿宋_GB2312" w:eastAsia="仿宋_GB2312" w:cs="Times New Roman"/>
          <w:sz w:val="30"/>
          <w:szCs w:val="30"/>
          <w:highlight w:val="none"/>
          <w:lang w:val="en-US" w:eastAsia="zh-CN"/>
        </w:rPr>
        <w:t>义务教育阶段</w:t>
      </w:r>
      <w:r>
        <w:rPr>
          <w:rFonts w:hint="eastAsia" w:ascii="仿宋_GB2312" w:hAnsi="Times New Roman" w:eastAsia="仿宋_GB2312" w:cs="Times New Roman"/>
          <w:sz w:val="30"/>
          <w:szCs w:val="30"/>
          <w:highlight w:val="none"/>
          <w:lang w:val="en-US" w:eastAsia="zh-CN"/>
        </w:rPr>
        <w:t>日常办学和维修维护；</w:t>
      </w:r>
    </w:p>
    <w:p w14:paraId="54D3FCA0">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eastAsia="仿宋_GB2312"/>
          <w:color w:val="FF0000"/>
          <w:sz w:val="30"/>
          <w:szCs w:val="30"/>
          <w:highlight w:val="none"/>
        </w:rPr>
      </w:pPr>
      <w:r>
        <w:rPr>
          <w:rFonts w:hint="eastAsia" w:ascii="仿宋_GB2312" w:hAnsi="Times New Roman" w:eastAsia="仿宋_GB2312" w:cs="Times New Roman"/>
          <w:sz w:val="30"/>
          <w:szCs w:val="30"/>
          <w:highlight w:val="none"/>
          <w:lang w:val="en-US" w:eastAsia="zh-CN"/>
        </w:rPr>
        <w:t>普通高中生均公用经费省级补助资金项目经费1929007.56元，主要用于</w:t>
      </w:r>
      <w:r>
        <w:rPr>
          <w:rFonts w:hint="eastAsia" w:ascii="仿宋_GB2312" w:eastAsia="仿宋_GB2312" w:cs="Times New Roman"/>
          <w:sz w:val="30"/>
          <w:szCs w:val="30"/>
          <w:highlight w:val="none"/>
          <w:lang w:val="en-US" w:eastAsia="zh-CN"/>
        </w:rPr>
        <w:t>学校高中教育</w:t>
      </w:r>
      <w:r>
        <w:rPr>
          <w:rFonts w:hint="eastAsia" w:ascii="仿宋_GB2312" w:hAnsi="Times New Roman" w:eastAsia="仿宋_GB2312" w:cs="Times New Roman"/>
          <w:sz w:val="30"/>
          <w:szCs w:val="30"/>
          <w:highlight w:val="none"/>
          <w:lang w:val="en-US" w:eastAsia="zh-CN"/>
        </w:rPr>
        <w:t>正常运转所需的公用支出。</w:t>
      </w:r>
    </w:p>
    <w:p w14:paraId="5AF58EEA">
      <w:pPr>
        <w:widowControl/>
        <w:snapToGrid w:val="0"/>
        <w:spacing w:before="100" w:after="100" w:line="600" w:lineRule="exact"/>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三、一般公共预算财政拨款支出决算情况说明</w:t>
      </w:r>
    </w:p>
    <w:p w14:paraId="6308A160">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（一）一般公共预算财政拨款支出决算总体情况</w:t>
      </w:r>
    </w:p>
    <w:p w14:paraId="39931800">
      <w:pPr>
        <w:keepNext w:val="0"/>
        <w:keepLines w:val="0"/>
        <w:pageBreakBefore w:val="0"/>
        <w:widowControl/>
        <w:kinsoku/>
        <w:wordWrap/>
        <w:overflowPunct/>
        <w:topLinePunct w:val="0"/>
        <w:autoSpaceDE/>
        <w:autoSpaceDN/>
        <w:bidi w:val="0"/>
        <w:adjustRightInd/>
        <w:snapToGrid w:val="0"/>
        <w:spacing w:before="100" w:after="100" w:line="600" w:lineRule="exact"/>
        <w:ind w:firstLine="600" w:firstLineChars="200"/>
        <w:jc w:val="both"/>
        <w:textAlignment w:val="auto"/>
        <w:rPr>
          <w:rFonts w:hint="eastAsia" w:ascii="仿宋_GB2312" w:hAnsi="宋体" w:eastAsia="仿宋_GB2312" w:cs="Arial"/>
          <w:kern w:val="0"/>
          <w:sz w:val="30"/>
          <w:szCs w:val="30"/>
          <w:highlight w:val="none"/>
        </w:rPr>
      </w:pPr>
      <w:r>
        <w:rPr>
          <w:rFonts w:hint="eastAsia" w:ascii="仿宋_GB2312" w:hAnsi="仿宋_GB2312" w:eastAsia="仿宋_GB2312" w:cs="仿宋_GB2312"/>
          <w:color w:val="auto"/>
          <w:sz w:val="30"/>
          <w:lang w:val="zh-CN"/>
        </w:rPr>
        <w:t>云南师范大学附属世纪金源学校</w:t>
      </w: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一般公共预算财政拨款支出</w:t>
      </w:r>
      <w:r>
        <w:rPr>
          <w:rFonts w:hint="eastAsia" w:ascii="仿宋_GB2312" w:hAnsi="仿宋_GB2312" w:eastAsia="仿宋_GB2312" w:cs="仿宋_GB2312"/>
          <w:color w:val="auto"/>
          <w:kern w:val="0"/>
          <w:sz w:val="30"/>
          <w:lang w:val="zh-CN"/>
        </w:rPr>
        <w:t>99476125.50</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,占本年支出合计的</w:t>
      </w:r>
      <w:r>
        <w:rPr>
          <w:rFonts w:hint="eastAsia" w:ascii="仿宋_GB2312" w:hAnsi="仿宋_GB2312" w:eastAsia="仿宋_GB2312" w:cs="仿宋_GB2312"/>
          <w:color w:val="auto"/>
          <w:sz w:val="30"/>
          <w:lang w:val="zh-CN"/>
        </w:rPr>
        <w:t>96.63</w:t>
      </w:r>
      <w:r>
        <w:rPr>
          <w:rFonts w:hint="eastAsia" w:ascii="仿宋_GB2312" w:hAnsi="宋体" w:eastAsia="仿宋_GB2312" w:cs="Arial"/>
          <w:kern w:val="0"/>
          <w:sz w:val="30"/>
          <w:szCs w:val="30"/>
          <w:highlight w:val="none"/>
        </w:rPr>
        <w:t>%。与上年</w:t>
      </w:r>
      <w:r>
        <w:rPr>
          <w:rFonts w:hint="eastAsia" w:ascii="仿宋_GB2312" w:hAnsi="宋体" w:eastAsia="仿宋_GB2312" w:cs="Arial"/>
          <w:kern w:val="0"/>
          <w:sz w:val="30"/>
          <w:szCs w:val="30"/>
          <w:highlight w:val="none"/>
          <w:lang w:eastAsia="zh-CN"/>
        </w:rPr>
        <w:t>相比</w:t>
      </w:r>
      <w:r>
        <w:rPr>
          <w:rFonts w:hint="eastAsia" w:ascii="仿宋_GB2312" w:hAnsi="宋体" w:eastAsia="仿宋_GB2312" w:cs="Arial"/>
          <w:kern w:val="0"/>
          <w:sz w:val="30"/>
          <w:szCs w:val="30"/>
          <w:highlight w:val="none"/>
        </w:rPr>
        <w:t>增加</w:t>
      </w:r>
      <w:r>
        <w:rPr>
          <w:rFonts w:hint="eastAsia" w:ascii="仿宋_GB2312" w:hAnsi="仿宋_GB2312" w:eastAsia="仿宋_GB2312" w:cs="仿宋_GB2312"/>
          <w:color w:val="auto"/>
          <w:kern w:val="0"/>
          <w:sz w:val="30"/>
          <w:lang w:val="zh-CN"/>
        </w:rPr>
        <w:t>9876190.91</w:t>
      </w:r>
      <w:r>
        <w:rPr>
          <w:rFonts w:hint="eastAsia" w:ascii="仿宋_GB2312" w:hAnsi="宋体" w:eastAsia="仿宋_GB2312" w:cs="Arial"/>
          <w:kern w:val="0"/>
          <w:sz w:val="30"/>
          <w:szCs w:val="30"/>
          <w:highlight w:val="none"/>
        </w:rPr>
        <w:t>元，增长</w:t>
      </w:r>
      <w:r>
        <w:rPr>
          <w:rFonts w:hint="eastAsia" w:ascii="仿宋_GB2312" w:hAnsi="仿宋_GB2312" w:eastAsia="仿宋_GB2312" w:cs="仿宋_GB2312"/>
          <w:color w:val="auto"/>
          <w:kern w:val="0"/>
          <w:sz w:val="30"/>
          <w:lang w:val="zh-CN"/>
        </w:rPr>
        <w:t>11.02</w:t>
      </w:r>
      <w:r>
        <w:rPr>
          <w:rFonts w:hint="eastAsia" w:ascii="仿宋_GB2312" w:hAnsi="宋体" w:eastAsia="仿宋_GB2312" w:cs="Arial"/>
          <w:kern w:val="0"/>
          <w:sz w:val="30"/>
          <w:szCs w:val="30"/>
          <w:highlight w:val="none"/>
        </w:rPr>
        <w:t>%</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完成年初预算的</w:t>
      </w:r>
      <w:r>
        <w:rPr>
          <w:rFonts w:hint="eastAsia" w:ascii="仿宋_GB2312" w:hAnsi="仿宋_GB2312" w:eastAsia="仿宋_GB2312" w:cs="仿宋_GB2312"/>
          <w:color w:val="auto"/>
          <w:sz w:val="30"/>
          <w:lang w:val="zh-CN"/>
        </w:rPr>
        <w:t>109.73</w:t>
      </w:r>
      <w:r>
        <w:rPr>
          <w:rFonts w:hint="eastAsia" w:ascii="仿宋_GB2312" w:eastAsia="仿宋_GB2312"/>
          <w:sz w:val="30"/>
          <w:szCs w:val="30"/>
          <w:highlight w:val="none"/>
          <w:lang w:val="en-US" w:eastAsia="zh-CN"/>
        </w:rPr>
        <w:t>%</w:t>
      </w:r>
      <w:r>
        <w:rPr>
          <w:rFonts w:hint="eastAsia" w:ascii="仿宋_GB2312" w:hAnsi="宋体" w:eastAsia="仿宋_GB2312" w:cs="Arial"/>
          <w:kern w:val="0"/>
          <w:sz w:val="30"/>
          <w:szCs w:val="30"/>
          <w:highlight w:val="none"/>
        </w:rPr>
        <w:t>。</w:t>
      </w:r>
    </w:p>
    <w:p w14:paraId="64A0DEE6">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（二）一般公共预算财政拨款支出决算</w:t>
      </w:r>
      <w:r>
        <w:rPr>
          <w:rFonts w:hint="eastAsia" w:ascii="楷体" w:hAnsi="楷体" w:eastAsia="楷体"/>
          <w:sz w:val="30"/>
          <w:szCs w:val="30"/>
          <w:highlight w:val="none"/>
          <w:lang w:eastAsia="zh-CN"/>
        </w:rPr>
        <w:t>分功能分类科目情况</w:t>
      </w:r>
      <w:r>
        <w:rPr>
          <w:rFonts w:hint="eastAsia" w:ascii="楷体" w:hAnsi="楷体" w:eastAsia="楷体"/>
          <w:sz w:val="30"/>
          <w:szCs w:val="30"/>
          <w:highlight w:val="none"/>
        </w:rPr>
        <w:tab/>
      </w:r>
    </w:p>
    <w:p w14:paraId="72C691BE">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宋体" w:eastAsia="仿宋_GB2312" w:cs="Arial"/>
          <w:kern w:val="0"/>
          <w:sz w:val="30"/>
          <w:szCs w:val="30"/>
          <w:highlight w:val="none"/>
        </w:rPr>
        <w:t>1.一般公共服务（类）支出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w:t>
      </w:r>
      <w:r>
        <w:rPr>
          <w:rFonts w:hint="eastAsia" w:ascii="仿宋_GB2312" w:eastAsia="仿宋_GB2312"/>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，年初无此项预算</w:t>
      </w:r>
      <w:r>
        <w:rPr>
          <w:rFonts w:hint="eastAsia" w:ascii="仿宋_GB2312" w:eastAsia="仿宋_GB2312"/>
          <w:sz w:val="30"/>
          <w:szCs w:val="30"/>
          <w:highlight w:val="none"/>
        </w:rPr>
        <w:t>。</w:t>
      </w:r>
    </w:p>
    <w:p w14:paraId="649F61BA">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rPr>
      </w:pPr>
      <w:r>
        <w:rPr>
          <w:rFonts w:hint="eastAsia" w:ascii="仿宋_GB2312" w:hAnsi="宋体" w:eastAsia="仿宋_GB2312" w:cs="Arial"/>
          <w:kern w:val="0"/>
          <w:sz w:val="30"/>
          <w:szCs w:val="30"/>
          <w:highlight w:val="none"/>
        </w:rPr>
        <w:t>2.外交（类）支出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3C00006B">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rPr>
      </w:pPr>
      <w:r>
        <w:rPr>
          <w:rFonts w:hint="eastAsia" w:ascii="仿宋_GB2312" w:hAnsi="宋体" w:eastAsia="仿宋_GB2312" w:cs="Arial"/>
          <w:color w:val="auto"/>
          <w:kern w:val="0"/>
          <w:sz w:val="30"/>
          <w:szCs w:val="30"/>
          <w:highlight w:val="none"/>
        </w:rPr>
        <w:t>3.国防（类）支出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350135D2">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宋体" w:eastAsia="仿宋_GB2312" w:cs="Arial"/>
          <w:color w:val="auto"/>
          <w:kern w:val="0"/>
          <w:sz w:val="30"/>
          <w:szCs w:val="30"/>
          <w:highlight w:val="none"/>
        </w:rPr>
        <w:t>4.公共安全（类）支出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43D1B1D4">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仿宋_GB2312" w:eastAsia="仿宋_GB2312" w:cs="仿宋_GB2312"/>
          <w:color w:val="auto"/>
          <w:kern w:val="0"/>
          <w:sz w:val="30"/>
          <w:lang w:val="en-US"/>
        </w:rPr>
        <w:t>5.教育（类）支出</w:t>
      </w:r>
      <w:r>
        <w:rPr>
          <w:rFonts w:hint="eastAsia" w:ascii="仿宋_GB2312" w:hAnsi="仿宋_GB2312" w:eastAsia="仿宋_GB2312" w:cs="仿宋_GB2312"/>
          <w:color w:val="auto"/>
          <w:kern w:val="0"/>
          <w:sz w:val="30"/>
          <w:lang w:val="en-US" w:eastAsia="zh-CN"/>
        </w:rPr>
        <w:t>80813074.80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81.24</w:t>
      </w:r>
      <w:r>
        <w:rPr>
          <w:rFonts w:hint="eastAsia" w:ascii="仿宋_GB2312" w:hAnsi="仿宋_GB2312" w:eastAsia="仿宋_GB2312" w:cs="仿宋_GB2312"/>
          <w:color w:val="auto"/>
          <w:sz w:val="30"/>
          <w:lang w:val="en-US"/>
        </w:rPr>
        <w:t>%</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完成年初预算的</w:t>
      </w:r>
      <w:r>
        <w:rPr>
          <w:rFonts w:hint="eastAsia" w:ascii="仿宋_GB2312" w:hAnsi="仿宋_GB2312" w:eastAsia="仿宋_GB2312" w:cs="仿宋_GB2312"/>
          <w:color w:val="auto"/>
          <w:kern w:val="0"/>
          <w:sz w:val="30"/>
          <w:lang w:val="zh-CN"/>
        </w:rPr>
        <w:t>110.80</w:t>
      </w:r>
      <w:r>
        <w:rPr>
          <w:rFonts w:hint="eastAsia" w:ascii="仿宋_GB2312" w:eastAsia="仿宋_GB2312"/>
          <w:sz w:val="30"/>
          <w:szCs w:val="30"/>
          <w:highlight w:val="none"/>
          <w:lang w:val="en-US" w:eastAsia="zh-CN"/>
        </w:rPr>
        <w:t>%</w:t>
      </w:r>
      <w:r>
        <w:rPr>
          <w:rFonts w:hint="eastAsia" w:ascii="仿宋_GB2312" w:eastAsia="仿宋_GB2312"/>
          <w:sz w:val="30"/>
          <w:szCs w:val="30"/>
          <w:highlight w:val="none"/>
        </w:rPr>
        <w:t>。</w:t>
      </w:r>
      <w:r>
        <w:rPr>
          <w:rFonts w:hint="eastAsia" w:ascii="仿宋_GB2312" w:hAnsi="宋体" w:eastAsia="仿宋_GB2312" w:cs="Arial"/>
          <w:kern w:val="0"/>
          <w:sz w:val="30"/>
          <w:szCs w:val="30"/>
          <w:highlight w:val="none"/>
        </w:rPr>
        <w:t>主要用于</w:t>
      </w:r>
      <w:r>
        <w:rPr>
          <w:rFonts w:hint="eastAsia" w:ascii="仿宋_GB2312" w:hAnsi="宋体" w:eastAsia="仿宋_GB2312" w:cs="Arial"/>
          <w:kern w:val="0"/>
          <w:sz w:val="30"/>
          <w:szCs w:val="30"/>
          <w:highlight w:val="none"/>
          <w:lang w:val="en-US" w:eastAsia="zh-CN"/>
        </w:rPr>
        <w:t>学前教育1050803.40元，占普通教育支出的1.30%，主要用于幼儿园收费成本补偿项目；小学教育77421013.84元、初中教育260000.00元，义务教育阶段合计为77681013.84元，占普通教育支出的96.12%，主要用于义务教育阶段免费教科书采购和义务教育阶段学校运转的公用经费；高中教育2081257.56元，占普通教育支出的2.58%，主要用于高中助学金以及保障普通高中运转经费</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造成预决算差异的主要原因是：</w:t>
      </w:r>
      <w:r>
        <w:rPr>
          <w:rFonts w:hint="eastAsia" w:ascii="仿宋_GB2312" w:hAnsi="Times New Roman" w:eastAsia="仿宋_GB2312" w:cs="Times New Roman"/>
          <w:sz w:val="30"/>
          <w:szCs w:val="30"/>
          <w:highlight w:val="none"/>
          <w:lang w:val="en-US" w:eastAsia="zh-CN"/>
        </w:rPr>
        <w:t>义务教育阶段和高中阶段的生均经费、省级银龄教师补助经费项目未在年初预算时储备，而是在年度中临时调整预算进行储备的项目，故实际支出数比年初预算数多</w:t>
      </w:r>
      <w:r>
        <w:rPr>
          <w:rFonts w:hint="eastAsia" w:ascii="仿宋_GB2312" w:hAnsi="宋体" w:eastAsia="仿宋_GB2312" w:cs="Arial"/>
          <w:kern w:val="0"/>
          <w:sz w:val="30"/>
          <w:szCs w:val="30"/>
          <w:highlight w:val="none"/>
          <w:lang w:eastAsia="zh-CN"/>
        </w:rPr>
        <w:t>。</w:t>
      </w:r>
    </w:p>
    <w:p w14:paraId="36F9D844">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6.科学技术（类）支出</w:t>
      </w:r>
      <w:r>
        <w:rPr>
          <w:rFonts w:hint="eastAsia" w:ascii="仿宋_GB2312" w:hAnsi="仿宋_GB2312" w:eastAsia="仿宋_GB2312" w:cs="仿宋_GB2312"/>
          <w:color w:val="auto"/>
          <w:kern w:val="0"/>
          <w:sz w:val="30"/>
          <w:lang w:val="en-US" w:eastAsia="zh-CN"/>
        </w:rPr>
        <w:t>0.00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0.00</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6E8DC8BF">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7.文化旅游体育与传媒（类）支出</w:t>
      </w:r>
      <w:r>
        <w:rPr>
          <w:rFonts w:hint="eastAsia" w:ascii="仿宋_GB2312" w:hAnsi="仿宋_GB2312" w:eastAsia="仿宋_GB2312" w:cs="仿宋_GB2312"/>
          <w:color w:val="auto"/>
          <w:kern w:val="0"/>
          <w:sz w:val="30"/>
          <w:lang w:val="en-US" w:eastAsia="zh-CN"/>
        </w:rPr>
        <w:t>0.00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0.00</w:t>
      </w:r>
      <w:r>
        <w:rPr>
          <w:rFonts w:hint="eastAsia" w:ascii="仿宋_GB2312" w:hAnsi="仿宋_GB2312" w:eastAsia="仿宋_GB2312" w:cs="仿宋_GB2312"/>
          <w:color w:val="auto"/>
          <w:sz w:val="30"/>
          <w:lang w:val="en-US"/>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7535090F">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仿宋_GB2312" w:eastAsia="仿宋_GB2312" w:cs="仿宋_GB2312"/>
          <w:color w:val="auto"/>
          <w:kern w:val="0"/>
          <w:sz w:val="30"/>
          <w:lang w:val="en-US"/>
        </w:rPr>
        <w:t>8.社会保障和就业（类）支出</w:t>
      </w:r>
      <w:r>
        <w:rPr>
          <w:rFonts w:hint="eastAsia" w:ascii="仿宋_GB2312" w:hAnsi="仿宋_GB2312" w:eastAsia="仿宋_GB2312" w:cs="仿宋_GB2312"/>
          <w:color w:val="auto"/>
          <w:kern w:val="0"/>
          <w:sz w:val="30"/>
          <w:lang w:val="en-US" w:eastAsia="zh-CN"/>
        </w:rPr>
        <w:t>7183812.00</w:t>
      </w:r>
      <w:r>
        <w:rPr>
          <w:rFonts w:hint="eastAsia" w:ascii="仿宋_GB2312" w:hAnsi="仿宋_GB2312" w:eastAsia="仿宋_GB2312" w:cs="仿宋_GB2312"/>
          <w:color w:val="auto"/>
          <w:kern w:val="0"/>
          <w:sz w:val="30"/>
          <w:lang w:val="en-US"/>
        </w:rPr>
        <w:t>元，</w:t>
      </w:r>
      <w:r>
        <w:rPr>
          <w:rFonts w:hint="eastAsia" w:ascii="仿宋_GB2312" w:hAnsi="仿宋_GB2312" w:eastAsia="仿宋_GB2312" w:cs="仿宋_GB2312"/>
          <w:color w:val="auto"/>
          <w:sz w:val="30"/>
          <w:lang w:val="en-US"/>
        </w:rPr>
        <w:t>占一般公共预算财政拨款总支出的</w:t>
      </w:r>
      <w:r>
        <w:rPr>
          <w:rFonts w:hint="eastAsia" w:ascii="仿宋_GB2312" w:hAnsi="仿宋_GB2312" w:eastAsia="仿宋_GB2312" w:cs="仿宋_GB2312"/>
          <w:color w:val="auto"/>
          <w:sz w:val="30"/>
          <w:lang w:val="en-US" w:eastAsia="zh-CN"/>
        </w:rPr>
        <w:t>7.22</w:t>
      </w:r>
      <w:r>
        <w:rPr>
          <w:rFonts w:hint="eastAsia" w:ascii="仿宋_GB2312" w:hAnsi="仿宋_GB2312" w:eastAsia="仿宋_GB2312" w:cs="仿宋_GB2312"/>
          <w:color w:val="auto"/>
          <w:sz w:val="30"/>
          <w:lang w:val="en-US"/>
        </w:rPr>
        <w:t>%</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完成年初预算的</w:t>
      </w:r>
      <w:r>
        <w:rPr>
          <w:rFonts w:hint="eastAsia" w:ascii="仿宋_GB2312" w:hAnsi="仿宋_GB2312" w:eastAsia="仿宋_GB2312" w:cs="仿宋_GB2312"/>
          <w:color w:val="auto"/>
          <w:kern w:val="0"/>
          <w:sz w:val="30"/>
          <w:lang w:val="zh-CN"/>
        </w:rPr>
        <w:t>106.32</w:t>
      </w:r>
      <w:r>
        <w:rPr>
          <w:rFonts w:hint="eastAsia" w:ascii="仿宋_GB2312" w:eastAsia="仿宋_GB2312"/>
          <w:sz w:val="30"/>
          <w:szCs w:val="30"/>
          <w:highlight w:val="none"/>
          <w:lang w:val="en-US" w:eastAsia="zh-CN"/>
        </w:rPr>
        <w:t>%</w:t>
      </w:r>
      <w:r>
        <w:rPr>
          <w:rFonts w:hint="eastAsia" w:ascii="仿宋_GB2312" w:eastAsia="仿宋_GB2312"/>
          <w:sz w:val="30"/>
          <w:szCs w:val="30"/>
          <w:highlight w:val="none"/>
        </w:rPr>
        <w:t>。</w:t>
      </w:r>
      <w:r>
        <w:rPr>
          <w:rFonts w:hint="eastAsia" w:ascii="仿宋_GB2312" w:hAnsi="宋体" w:eastAsia="仿宋_GB2312" w:cs="Arial"/>
          <w:kern w:val="0"/>
          <w:sz w:val="30"/>
          <w:szCs w:val="30"/>
          <w:highlight w:val="none"/>
        </w:rPr>
        <w:t>主要用于</w:t>
      </w:r>
      <w:r>
        <w:rPr>
          <w:rFonts w:hint="eastAsia" w:ascii="仿宋_GB2312" w:hAnsi="宋体" w:eastAsia="仿宋_GB2312" w:cs="Arial"/>
          <w:kern w:val="0"/>
          <w:sz w:val="30"/>
          <w:szCs w:val="30"/>
          <w:highlight w:val="none"/>
          <w:lang w:val="en-US"/>
        </w:rPr>
        <w:t>事业单位离退休、基本养老保险及职业年金缴费支出</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造成预决算差异的主要原因是：</w:t>
      </w:r>
      <w:r>
        <w:rPr>
          <w:rFonts w:hint="eastAsia" w:ascii="仿宋_GB2312" w:hAnsi="宋体" w:eastAsia="仿宋_GB2312" w:cs="Arial"/>
          <w:kern w:val="0"/>
          <w:sz w:val="30"/>
          <w:szCs w:val="30"/>
          <w:highlight w:val="none"/>
          <w:lang w:val="en-US" w:eastAsia="zh-CN"/>
        </w:rPr>
        <w:t>年度中旬社保基数调整，社会保障和就业（类）支出相较年初预算进行了清算调增</w:t>
      </w:r>
      <w:r>
        <w:rPr>
          <w:rFonts w:hint="eastAsia" w:ascii="仿宋_GB2312" w:hAnsi="宋体" w:eastAsia="仿宋_GB2312" w:cs="Arial"/>
          <w:kern w:val="0"/>
          <w:sz w:val="30"/>
          <w:szCs w:val="30"/>
          <w:highlight w:val="none"/>
          <w:lang w:eastAsia="zh-CN"/>
        </w:rPr>
        <w:t>。</w:t>
      </w:r>
    </w:p>
    <w:p w14:paraId="5F0D9051">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仿宋_GB2312" w:eastAsia="仿宋_GB2312" w:cs="仿宋_GB2312"/>
          <w:color w:val="auto"/>
          <w:kern w:val="0"/>
          <w:sz w:val="30"/>
          <w:lang w:val="en-US"/>
        </w:rPr>
        <w:t>9.卫生健康（类）支出</w:t>
      </w:r>
      <w:r>
        <w:rPr>
          <w:rFonts w:hint="eastAsia" w:ascii="仿宋_GB2312" w:hAnsi="仿宋_GB2312" w:eastAsia="仿宋_GB2312" w:cs="仿宋_GB2312"/>
          <w:color w:val="auto"/>
          <w:kern w:val="0"/>
          <w:sz w:val="30"/>
          <w:lang w:val="zh-CN"/>
        </w:rPr>
        <w:t>6849041.22</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w:t>
      </w:r>
      <w:r>
        <w:rPr>
          <w:rFonts w:hint="eastAsia" w:ascii="仿宋_GB2312" w:eastAsia="仿宋_GB2312"/>
          <w:sz w:val="30"/>
          <w:szCs w:val="30"/>
          <w:highlight w:val="none"/>
        </w:rPr>
        <w:t>占一般公共预算财政拨款总支出的</w:t>
      </w:r>
      <w:r>
        <w:rPr>
          <w:rFonts w:hint="eastAsia" w:ascii="仿宋_GB2312" w:hAnsi="仿宋_GB2312" w:eastAsia="仿宋_GB2312" w:cs="仿宋_GB2312"/>
          <w:color w:val="auto"/>
          <w:kern w:val="0"/>
          <w:sz w:val="30"/>
          <w:lang w:val="zh-CN"/>
        </w:rPr>
        <w:t>6.89</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完成年初预算的</w:t>
      </w:r>
      <w:r>
        <w:rPr>
          <w:rFonts w:hint="eastAsia" w:ascii="仿宋_GB2312" w:hAnsi="仿宋_GB2312" w:eastAsia="仿宋_GB2312" w:cs="仿宋_GB2312"/>
          <w:color w:val="auto"/>
          <w:kern w:val="0"/>
          <w:sz w:val="30"/>
          <w:lang w:val="zh-CN"/>
        </w:rPr>
        <w:t>104.94</w:t>
      </w:r>
      <w:r>
        <w:rPr>
          <w:rFonts w:hint="eastAsia" w:ascii="仿宋_GB2312" w:eastAsia="仿宋_GB2312"/>
          <w:sz w:val="30"/>
          <w:szCs w:val="30"/>
          <w:highlight w:val="none"/>
          <w:lang w:val="en-US" w:eastAsia="zh-CN"/>
        </w:rPr>
        <w:t>%</w:t>
      </w:r>
      <w:r>
        <w:rPr>
          <w:rFonts w:hint="eastAsia" w:ascii="仿宋_GB2312" w:eastAsia="仿宋_GB2312"/>
          <w:sz w:val="30"/>
          <w:szCs w:val="30"/>
          <w:highlight w:val="none"/>
        </w:rPr>
        <w:t>。</w:t>
      </w:r>
      <w:r>
        <w:rPr>
          <w:rFonts w:hint="eastAsia" w:ascii="仿宋_GB2312" w:hAnsi="宋体" w:eastAsia="仿宋_GB2312" w:cs="Arial"/>
          <w:kern w:val="0"/>
          <w:sz w:val="30"/>
          <w:szCs w:val="30"/>
          <w:highlight w:val="none"/>
        </w:rPr>
        <w:t>主要用于</w:t>
      </w:r>
      <w:r>
        <w:rPr>
          <w:rFonts w:hint="eastAsia" w:ascii="仿宋_GB2312" w:hAnsi="宋体" w:eastAsia="仿宋_GB2312" w:cs="Arial"/>
          <w:kern w:val="0"/>
          <w:sz w:val="30"/>
          <w:szCs w:val="30"/>
          <w:highlight w:val="none"/>
          <w:lang w:val="en-US" w:eastAsia="zh-CN"/>
        </w:rPr>
        <w:t>事业单位医疗补助支出</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造成预决算差异的主要原因是：</w:t>
      </w:r>
      <w:r>
        <w:rPr>
          <w:rFonts w:hint="eastAsia" w:ascii="仿宋_GB2312" w:hAnsi="宋体" w:eastAsia="仿宋_GB2312" w:cs="Arial"/>
          <w:kern w:val="0"/>
          <w:sz w:val="30"/>
          <w:szCs w:val="30"/>
          <w:highlight w:val="none"/>
          <w:lang w:val="en-US" w:eastAsia="zh-CN"/>
        </w:rPr>
        <w:t>年度中旬社保基数调整，</w:t>
      </w:r>
      <w:r>
        <w:rPr>
          <w:rFonts w:hint="eastAsia" w:ascii="仿宋_GB2312" w:hAnsi="仿宋_GB2312" w:eastAsia="仿宋_GB2312" w:cs="仿宋_GB2312"/>
          <w:color w:val="auto"/>
          <w:kern w:val="0"/>
          <w:sz w:val="30"/>
          <w:lang w:val="en-US"/>
        </w:rPr>
        <w:t>卫生健康（类）支出</w:t>
      </w:r>
      <w:r>
        <w:rPr>
          <w:rFonts w:hint="eastAsia" w:ascii="仿宋_GB2312" w:hAnsi="宋体" w:eastAsia="仿宋_GB2312" w:cs="Arial"/>
          <w:kern w:val="0"/>
          <w:sz w:val="30"/>
          <w:szCs w:val="30"/>
          <w:highlight w:val="none"/>
          <w:lang w:val="en-US" w:eastAsia="zh-CN"/>
        </w:rPr>
        <w:t>相较年初预算进行了清算调增</w:t>
      </w:r>
      <w:r>
        <w:rPr>
          <w:rFonts w:hint="eastAsia" w:ascii="仿宋_GB2312" w:hAnsi="宋体" w:eastAsia="仿宋_GB2312" w:cs="Arial"/>
          <w:kern w:val="0"/>
          <w:sz w:val="30"/>
          <w:szCs w:val="30"/>
          <w:highlight w:val="none"/>
          <w:lang w:eastAsia="zh-CN"/>
        </w:rPr>
        <w:t>。</w:t>
      </w:r>
    </w:p>
    <w:p w14:paraId="44BAFE60">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10.节能环保（类）支出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6DBE6BB2">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11.城乡社区（类）支出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24F1295F">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12.农林水（类）支出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187B70D9">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13.交通运输（类）支出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70715CFF">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14.资源勘探工业信息等（类）支出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1966357F">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15.商业服务业等（类）支出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7C74F3DA">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16.金融（类）支出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3B3BD603">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17.援助其他地区（类）支出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23E49C2E">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仿宋_GB2312" w:eastAsia="仿宋_GB2312" w:cs="仿宋_GB2312"/>
          <w:color w:val="auto"/>
          <w:kern w:val="0"/>
          <w:sz w:val="30"/>
          <w:lang w:val="en-US"/>
        </w:rPr>
        <w:t>18.自然资源海洋气象等（类）支出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w:t>
      </w:r>
      <w:r>
        <w:rPr>
          <w:rFonts w:hint="eastAsia" w:ascii="仿宋_GB2312" w:eastAsia="仿宋_GB2312"/>
          <w:sz w:val="30"/>
          <w:szCs w:val="30"/>
          <w:highlight w:val="none"/>
        </w:rPr>
        <w:t>占一般公共预算</w:t>
      </w:r>
      <w:r>
        <w:rPr>
          <w:rFonts w:hint="eastAsia" w:ascii="仿宋_GB2312" w:eastAsia="仿宋_GB2312"/>
          <w:color w:val="auto"/>
          <w:sz w:val="30"/>
          <w:szCs w:val="30"/>
          <w:highlight w:val="none"/>
        </w:rPr>
        <w:t>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756C05B8">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hAnsi="仿宋_GB2312" w:eastAsia="仿宋_GB2312" w:cs="仿宋_GB2312"/>
          <w:color w:val="auto"/>
          <w:kern w:val="0"/>
          <w:sz w:val="30"/>
          <w:lang w:val="en-US"/>
        </w:rPr>
        <w:t>19.住房保障（类）支出</w:t>
      </w:r>
      <w:r>
        <w:rPr>
          <w:rFonts w:hint="eastAsia" w:ascii="仿宋_GB2312" w:hAnsi="仿宋_GB2312" w:eastAsia="仿宋_GB2312" w:cs="仿宋_GB2312"/>
          <w:color w:val="auto"/>
          <w:kern w:val="0"/>
          <w:sz w:val="30"/>
          <w:lang w:val="zh-CN"/>
        </w:rPr>
        <w:t>4630197.48</w:t>
      </w:r>
      <w:r>
        <w:rPr>
          <w:rFonts w:hint="eastAsia" w:ascii="仿宋_GB2312" w:hAnsi="宋体" w:eastAsia="仿宋_GB2312" w:cs="Arial"/>
          <w:kern w:val="0"/>
          <w:sz w:val="30"/>
          <w:szCs w:val="30"/>
          <w:highlight w:val="none"/>
          <w:lang w:eastAsia="zh-CN"/>
        </w:rPr>
        <w:t>元</w:t>
      </w:r>
      <w:r>
        <w:rPr>
          <w:rFonts w:hint="eastAsia" w:ascii="仿宋_GB2312" w:hAnsi="宋体" w:eastAsia="仿宋_GB2312" w:cs="Arial"/>
          <w:kern w:val="0"/>
          <w:sz w:val="30"/>
          <w:szCs w:val="30"/>
          <w:highlight w:val="none"/>
        </w:rPr>
        <w:t>，</w:t>
      </w:r>
      <w:r>
        <w:rPr>
          <w:rFonts w:hint="eastAsia" w:ascii="仿宋_GB2312" w:eastAsia="仿宋_GB2312"/>
          <w:sz w:val="30"/>
          <w:szCs w:val="30"/>
          <w:highlight w:val="none"/>
        </w:rPr>
        <w:t>占一般公共预算财政拨款总支出的</w:t>
      </w:r>
      <w:r>
        <w:rPr>
          <w:rFonts w:hint="eastAsia" w:ascii="仿宋_GB2312" w:hAnsi="仿宋_GB2312" w:eastAsia="仿宋_GB2312" w:cs="仿宋_GB2312"/>
          <w:color w:val="auto"/>
          <w:kern w:val="0"/>
          <w:sz w:val="30"/>
          <w:lang w:val="zh-CN"/>
        </w:rPr>
        <w:t>4.65</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完成年初预算的</w:t>
      </w:r>
      <w:r>
        <w:rPr>
          <w:rFonts w:hint="eastAsia" w:ascii="仿宋_GB2312" w:hAnsi="仿宋_GB2312" w:eastAsia="仿宋_GB2312" w:cs="仿宋_GB2312"/>
          <w:color w:val="auto"/>
          <w:kern w:val="0"/>
          <w:sz w:val="30"/>
          <w:lang w:val="zh-CN"/>
        </w:rPr>
        <w:t>104.26</w:t>
      </w:r>
      <w:r>
        <w:rPr>
          <w:rFonts w:hint="eastAsia" w:ascii="仿宋_GB2312" w:eastAsia="仿宋_GB2312"/>
          <w:sz w:val="30"/>
          <w:szCs w:val="30"/>
          <w:highlight w:val="none"/>
          <w:lang w:val="en-US" w:eastAsia="zh-CN"/>
        </w:rPr>
        <w:t>%</w:t>
      </w:r>
      <w:r>
        <w:rPr>
          <w:rFonts w:hint="eastAsia" w:ascii="仿宋_GB2312" w:eastAsia="仿宋_GB2312"/>
          <w:sz w:val="30"/>
          <w:szCs w:val="30"/>
          <w:highlight w:val="none"/>
        </w:rPr>
        <w:t>。</w:t>
      </w:r>
      <w:r>
        <w:rPr>
          <w:rFonts w:hint="eastAsia" w:ascii="仿宋_GB2312" w:hAnsi="宋体" w:eastAsia="仿宋_GB2312" w:cs="Arial"/>
          <w:kern w:val="0"/>
          <w:sz w:val="30"/>
          <w:szCs w:val="30"/>
          <w:highlight w:val="none"/>
        </w:rPr>
        <w:t>主要用于</w:t>
      </w:r>
      <w:r>
        <w:rPr>
          <w:rFonts w:hint="eastAsia" w:ascii="仿宋_GB2312" w:hAnsi="Times New Roman" w:eastAsia="仿宋_GB2312" w:cs="Times New Roman"/>
          <w:sz w:val="30"/>
          <w:szCs w:val="30"/>
          <w:highlight w:val="none"/>
          <w:lang w:val="en-US"/>
        </w:rPr>
        <w:t>学校</w:t>
      </w:r>
      <w:r>
        <w:rPr>
          <w:rFonts w:hint="eastAsia" w:ascii="仿宋_GB2312" w:hAnsi="Times New Roman" w:eastAsia="仿宋_GB2312" w:cs="Times New Roman"/>
          <w:sz w:val="30"/>
          <w:szCs w:val="30"/>
          <w:highlight w:val="none"/>
          <w:lang w:val="en-US" w:eastAsia="zh-CN"/>
        </w:rPr>
        <w:t>在职职工住房公积金支出</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造成预决算差异的主要原因是：</w:t>
      </w:r>
      <w:r>
        <w:rPr>
          <w:rFonts w:hint="eastAsia" w:ascii="仿宋_GB2312" w:hAnsi="宋体" w:eastAsia="仿宋_GB2312" w:cs="Arial"/>
          <w:kern w:val="0"/>
          <w:sz w:val="30"/>
          <w:szCs w:val="30"/>
          <w:highlight w:val="none"/>
          <w:lang w:val="en-US" w:eastAsia="zh-CN"/>
        </w:rPr>
        <w:t>年度中公积金基数调整，住房公积金清算后较年初预算调高</w:t>
      </w:r>
      <w:r>
        <w:rPr>
          <w:rFonts w:hint="eastAsia" w:ascii="仿宋_GB2312" w:hAnsi="宋体" w:eastAsia="仿宋_GB2312" w:cs="Arial"/>
          <w:kern w:val="0"/>
          <w:sz w:val="30"/>
          <w:szCs w:val="30"/>
          <w:highlight w:val="none"/>
          <w:lang w:eastAsia="zh-CN"/>
        </w:rPr>
        <w:t>。</w:t>
      </w:r>
    </w:p>
    <w:p w14:paraId="5A2FB4F4">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20.粮油物资储备（类）支出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51D29DDE">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21.国有资本经营预算（类）支出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5933EDD2">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22.灾害防治及应急管理（类）支出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50E0B774">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23.其他（类）支出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0732A9ED">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24.债务还本（类）支出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707C0F33">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hAnsi="仿宋_GB2312" w:eastAsia="仿宋_GB2312" w:cs="仿宋_GB2312"/>
          <w:color w:val="auto"/>
          <w:kern w:val="0"/>
          <w:sz w:val="30"/>
          <w:lang w:val="en-US"/>
        </w:rPr>
        <w:t>25.债务付息（类）支出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30C2F7CB">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rPr>
      </w:pPr>
      <w:r>
        <w:rPr>
          <w:rFonts w:hint="eastAsia" w:ascii="仿宋_GB2312" w:hAnsi="仿宋_GB2312" w:eastAsia="仿宋_GB2312" w:cs="仿宋_GB2312"/>
          <w:color w:val="auto"/>
          <w:kern w:val="0"/>
          <w:sz w:val="30"/>
          <w:lang w:val="en-US"/>
        </w:rPr>
        <w:t>26.抗疫特别国债安排（类）支出</w:t>
      </w:r>
      <w:r>
        <w:rPr>
          <w:rFonts w:hint="eastAsia" w:ascii="仿宋_GB2312" w:hAnsi="仿宋_GB2312" w:eastAsia="仿宋_GB2312" w:cs="仿宋_GB2312"/>
          <w:color w:val="auto"/>
          <w:kern w:val="0"/>
          <w:sz w:val="30"/>
          <w:lang w:val="zh-CN"/>
        </w:rPr>
        <w:t>0.00</w:t>
      </w:r>
      <w:r>
        <w:rPr>
          <w:rFonts w:hint="eastAsia" w:ascii="仿宋_GB2312" w:hAnsi="宋体" w:eastAsia="仿宋_GB2312" w:cs="Arial"/>
          <w:color w:val="auto"/>
          <w:kern w:val="0"/>
          <w:sz w:val="30"/>
          <w:szCs w:val="30"/>
          <w:highlight w:val="none"/>
          <w:lang w:eastAsia="zh-CN"/>
        </w:rPr>
        <w:t>元</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highlight w:val="none"/>
        </w:rPr>
        <w:t>占一般公共预算财政拨款总支出的</w:t>
      </w:r>
      <w:r>
        <w:rPr>
          <w:rFonts w:hint="eastAsia" w:ascii="仿宋_GB2312" w:hAnsi="仿宋_GB2312" w:eastAsia="仿宋_GB2312" w:cs="仿宋_GB2312"/>
          <w:color w:val="auto"/>
          <w:kern w:val="0"/>
          <w:sz w:val="30"/>
          <w:lang w:val="zh-CN"/>
        </w:rPr>
        <w:t>0.00</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lang w:eastAsia="zh-CN"/>
        </w:rPr>
        <w:t>年初无此项预算</w:t>
      </w:r>
      <w:r>
        <w:rPr>
          <w:rFonts w:hint="eastAsia" w:ascii="仿宋_GB2312" w:hAnsi="宋体" w:eastAsia="仿宋_GB2312" w:cs="Arial"/>
          <w:color w:val="auto"/>
          <w:kern w:val="0"/>
          <w:sz w:val="30"/>
          <w:szCs w:val="30"/>
          <w:highlight w:val="none"/>
          <w:lang w:eastAsia="zh-CN"/>
        </w:rPr>
        <w:t>。</w:t>
      </w:r>
    </w:p>
    <w:p w14:paraId="0CC6F8FB">
      <w:pPr>
        <w:widowControl/>
        <w:numPr>
          <w:ilvl w:val="0"/>
          <w:numId w:val="2"/>
        </w:numPr>
        <w:snapToGrid w:val="0"/>
        <w:spacing w:before="100" w:after="100" w:line="360" w:lineRule="auto"/>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财政拨款“三公</w:t>
      </w:r>
      <w:bookmarkStart w:id="0" w:name="_GoBack"/>
      <w:bookmarkEnd w:id="0"/>
      <w:r>
        <w:rPr>
          <w:rFonts w:hint="eastAsia" w:ascii="黑体" w:hAnsi="黑体" w:eastAsia="黑体"/>
          <w:sz w:val="30"/>
          <w:szCs w:val="30"/>
          <w:highlight w:val="none"/>
        </w:rPr>
        <w:t>”经费支出决算情况说明</w:t>
      </w:r>
    </w:p>
    <w:p w14:paraId="30F2E3E1">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kern w:val="0"/>
          <w:sz w:val="30"/>
          <w:szCs w:val="30"/>
          <w:highlight w:val="none"/>
          <w:lang w:val="en-US" w:eastAsia="zh-CN"/>
        </w:rPr>
      </w:pPr>
      <w:r>
        <w:rPr>
          <w:rFonts w:hint="eastAsia" w:ascii="楷体_GB2312" w:hAnsi="楷体_GB2312" w:eastAsia="楷体_GB2312" w:cs="楷体_GB2312"/>
          <w:kern w:val="0"/>
          <w:sz w:val="30"/>
          <w:szCs w:val="30"/>
          <w:highlight w:val="none"/>
          <w:lang w:val="en-US" w:eastAsia="zh-CN"/>
        </w:rPr>
        <w:t>（一）总体情况</w:t>
      </w:r>
    </w:p>
    <w:p w14:paraId="4410D78B">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color w:val="auto"/>
          <w:sz w:val="30"/>
          <w:szCs w:val="30"/>
          <w:lang w:eastAsia="zh-CN"/>
        </w:rPr>
      </w:pPr>
      <w:r>
        <w:rPr>
          <w:rFonts w:hint="eastAsia" w:ascii="仿宋_GB2312" w:hAnsi="宋体" w:eastAsia="仿宋_GB2312" w:cs="Arial"/>
          <w:kern w:val="0"/>
          <w:sz w:val="30"/>
          <w:szCs w:val="30"/>
          <w:highlight w:val="none"/>
          <w:lang w:val="en-US" w:eastAsia="zh-CN"/>
        </w:rPr>
        <w:t>2025年度</w:t>
      </w:r>
      <w:r>
        <w:rPr>
          <w:rFonts w:hint="eastAsia" w:ascii="仿宋_GB2312" w:hAnsi="宋体" w:eastAsia="仿宋_GB2312" w:cs="Arial"/>
          <w:kern w:val="0"/>
          <w:sz w:val="30"/>
          <w:szCs w:val="30"/>
          <w:highlight w:val="none"/>
        </w:rPr>
        <w:t>财政拨款“三公”经费支出决算中，财政拨款“三公”经费支出</w:t>
      </w:r>
      <w:r>
        <w:rPr>
          <w:rFonts w:hint="eastAsia" w:ascii="仿宋_GB2312" w:hAnsi="宋体" w:eastAsia="仿宋_GB2312" w:cs="Arial"/>
          <w:kern w:val="0"/>
          <w:sz w:val="30"/>
          <w:szCs w:val="30"/>
          <w:highlight w:val="none"/>
          <w:lang w:eastAsia="zh-CN"/>
        </w:rPr>
        <w:t>年初</w:t>
      </w:r>
      <w:r>
        <w:rPr>
          <w:rFonts w:hint="eastAsia" w:ascii="仿宋_GB2312" w:hAnsi="宋体" w:eastAsia="仿宋_GB2312" w:cs="Arial"/>
          <w:kern w:val="0"/>
          <w:sz w:val="30"/>
          <w:szCs w:val="30"/>
          <w:highlight w:val="none"/>
        </w:rPr>
        <w:t>预算为</w:t>
      </w:r>
      <w:r>
        <w:rPr>
          <w:rFonts w:hint="eastAsia" w:ascii="仿宋_GB2312" w:hAnsi="仿宋_GB2312" w:eastAsia="仿宋_GB2312" w:cs="仿宋_GB2312"/>
          <w:color w:val="000000"/>
          <w:kern w:val="0"/>
          <w:sz w:val="30"/>
          <w:lang w:val="en-US" w:eastAsia="zh-CN"/>
        </w:rPr>
        <w:t>42629.00</w:t>
      </w:r>
      <w:r>
        <w:rPr>
          <w:rFonts w:hint="eastAsia" w:ascii="仿宋_GB2312" w:hAnsi="宋体" w:eastAsia="仿宋_GB2312" w:cs="Arial"/>
          <w:kern w:val="0"/>
          <w:sz w:val="30"/>
          <w:szCs w:val="30"/>
          <w:highlight w:val="none"/>
        </w:rPr>
        <w:t>元，决算为</w:t>
      </w:r>
      <w:r>
        <w:rPr>
          <w:rFonts w:hint="eastAsia" w:ascii="仿宋_GB2312" w:hAnsi="仿宋_GB2312" w:eastAsia="仿宋_GB2312" w:cs="仿宋_GB2312"/>
          <w:color w:val="000000"/>
          <w:sz w:val="30"/>
          <w:lang w:val="zh-CN"/>
        </w:rPr>
        <w:t>42583.60</w:t>
      </w:r>
      <w:r>
        <w:rPr>
          <w:rFonts w:hint="eastAsia" w:ascii="仿宋_GB2312" w:hAnsi="宋体" w:eastAsia="仿宋_GB2312" w:cs="Arial"/>
          <w:kern w:val="0"/>
          <w:sz w:val="30"/>
          <w:szCs w:val="30"/>
          <w:highlight w:val="none"/>
        </w:rPr>
        <w:t>元，完成</w:t>
      </w:r>
      <w:r>
        <w:rPr>
          <w:rFonts w:hint="eastAsia" w:ascii="仿宋_GB2312" w:hAnsi="宋体" w:eastAsia="仿宋_GB2312" w:cs="Arial"/>
          <w:kern w:val="0"/>
          <w:sz w:val="30"/>
          <w:szCs w:val="30"/>
          <w:highlight w:val="none"/>
          <w:lang w:eastAsia="zh-CN"/>
        </w:rPr>
        <w:t>年初</w:t>
      </w:r>
      <w:r>
        <w:rPr>
          <w:rFonts w:hint="eastAsia" w:ascii="仿宋_GB2312" w:hAnsi="宋体" w:eastAsia="仿宋_GB2312" w:cs="Arial"/>
          <w:kern w:val="0"/>
          <w:sz w:val="30"/>
          <w:szCs w:val="30"/>
          <w:highlight w:val="none"/>
        </w:rPr>
        <w:t>预算的</w:t>
      </w:r>
      <w:r>
        <w:rPr>
          <w:rFonts w:hint="eastAsia" w:ascii="仿宋_GB2312" w:hAnsi="仿宋_GB2312" w:eastAsia="仿宋_GB2312" w:cs="仿宋_GB2312"/>
          <w:color w:val="000000"/>
          <w:sz w:val="30"/>
          <w:lang w:val="zh-CN"/>
        </w:rPr>
        <w:t>99.89</w:t>
      </w:r>
      <w:r>
        <w:rPr>
          <w:rFonts w:hint="eastAsia" w:ascii="仿宋_GB2312" w:hAnsi="宋体" w:eastAsia="仿宋_GB2312" w:cs="Arial"/>
          <w:kern w:val="0"/>
          <w:sz w:val="30"/>
          <w:szCs w:val="30"/>
          <w:highlight w:val="none"/>
        </w:rPr>
        <w:t>%</w:t>
      </w:r>
      <w:r>
        <w:rPr>
          <w:rFonts w:hint="eastAsia" w:ascii="仿宋_GB2312" w:hAnsi="宋体" w:eastAsia="仿宋_GB2312" w:cs="Arial"/>
          <w:kern w:val="0"/>
          <w:sz w:val="30"/>
          <w:szCs w:val="30"/>
          <w:highlight w:val="none"/>
          <w:lang w:eastAsia="zh-CN"/>
        </w:rPr>
        <w:t>；支出决算较上年</w:t>
      </w:r>
      <w:r>
        <w:rPr>
          <w:rFonts w:hint="eastAsia" w:ascii="仿宋_GB2312" w:hAnsi="宋体" w:eastAsia="仿宋_GB2312" w:cs="Arial"/>
          <w:kern w:val="0"/>
          <w:sz w:val="30"/>
          <w:szCs w:val="30"/>
          <w:highlight w:val="none"/>
          <w:lang w:val="en-US" w:eastAsia="zh-CN"/>
        </w:rPr>
        <w:t>减少</w:t>
      </w:r>
      <w:r>
        <w:rPr>
          <w:rFonts w:hint="eastAsia" w:ascii="仿宋_GB2312" w:hAnsi="仿宋_GB2312" w:eastAsia="仿宋_GB2312" w:cs="仿宋_GB2312"/>
          <w:color w:val="000000"/>
          <w:sz w:val="30"/>
          <w:lang w:val="zh-CN"/>
        </w:rPr>
        <w:t>46.40</w:t>
      </w:r>
      <w:r>
        <w:rPr>
          <w:rFonts w:hint="eastAsia" w:ascii="仿宋_GB2312" w:hAnsi="宋体" w:eastAsia="仿宋_GB2312" w:cs="Arial"/>
          <w:kern w:val="0"/>
          <w:sz w:val="30"/>
          <w:szCs w:val="30"/>
          <w:highlight w:val="none"/>
          <w:lang w:val="en-US" w:eastAsia="zh-CN"/>
        </w:rPr>
        <w:t>元，下降</w:t>
      </w:r>
      <w:r>
        <w:rPr>
          <w:rFonts w:hint="eastAsia" w:ascii="仿宋_GB2312" w:hAnsi="仿宋_GB2312" w:eastAsia="仿宋_GB2312" w:cs="仿宋_GB2312"/>
          <w:color w:val="000000"/>
          <w:sz w:val="30"/>
          <w:lang w:val="zh-CN"/>
        </w:rPr>
        <w:t>0.11</w:t>
      </w:r>
      <w:r>
        <w:rPr>
          <w:rFonts w:hint="eastAsia" w:ascii="仿宋_GB2312" w:hAnsi="宋体" w:eastAsia="仿宋_GB2312" w:cs="Arial"/>
          <w:kern w:val="0"/>
          <w:sz w:val="30"/>
          <w:szCs w:val="30"/>
          <w:highlight w:val="none"/>
          <w:lang w:val="en-US" w:eastAsia="zh-CN"/>
        </w:rPr>
        <w:t>%</w:t>
      </w:r>
      <w:r>
        <w:rPr>
          <w:rFonts w:hint="eastAsia" w:ascii="仿宋_GB2312" w:eastAsia="仿宋_GB2312"/>
          <w:color w:val="auto"/>
          <w:sz w:val="30"/>
          <w:szCs w:val="30"/>
          <w:lang w:eastAsia="zh-CN"/>
        </w:rPr>
        <w:t>。</w:t>
      </w:r>
    </w:p>
    <w:p w14:paraId="12749285">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color w:val="auto"/>
          <w:sz w:val="30"/>
          <w:szCs w:val="30"/>
          <w:lang w:eastAsia="zh-CN"/>
        </w:rPr>
      </w:pPr>
      <w:r>
        <w:rPr>
          <w:rFonts w:hint="eastAsia" w:ascii="仿宋_GB2312" w:hAnsi="宋体" w:eastAsia="仿宋_GB2312" w:cs="Arial"/>
          <w:color w:val="auto"/>
          <w:kern w:val="0"/>
          <w:sz w:val="30"/>
          <w:szCs w:val="30"/>
          <w:highlight w:val="none"/>
        </w:rPr>
        <w:t>因公出国（境）费</w:t>
      </w:r>
      <w:r>
        <w:rPr>
          <w:rFonts w:hint="eastAsia" w:ascii="仿宋_GB2312" w:hAnsi="宋体" w:eastAsia="仿宋_GB2312" w:cs="Arial"/>
          <w:color w:val="auto"/>
          <w:kern w:val="0"/>
          <w:sz w:val="30"/>
          <w:szCs w:val="30"/>
          <w:highlight w:val="none"/>
          <w:lang w:val="en-US" w:eastAsia="zh-CN"/>
        </w:rPr>
        <w:t>用用</w:t>
      </w:r>
      <w:r>
        <w:rPr>
          <w:rFonts w:hint="eastAsia" w:ascii="仿宋_GB2312" w:hAnsi="宋体" w:eastAsia="仿宋_GB2312" w:cs="Arial"/>
          <w:color w:val="auto"/>
          <w:kern w:val="0"/>
          <w:sz w:val="30"/>
          <w:szCs w:val="30"/>
          <w:highlight w:val="none"/>
        </w:rPr>
        <w:t>支出</w:t>
      </w:r>
      <w:r>
        <w:rPr>
          <w:rFonts w:hint="eastAsia" w:ascii="仿宋_GB2312" w:hAnsi="宋体" w:eastAsia="仿宋_GB2312" w:cs="Arial"/>
          <w:color w:val="auto"/>
          <w:kern w:val="0"/>
          <w:sz w:val="30"/>
          <w:szCs w:val="30"/>
          <w:highlight w:val="none"/>
          <w:lang w:eastAsia="zh-CN"/>
        </w:rPr>
        <w:t>年初</w:t>
      </w:r>
      <w:r>
        <w:rPr>
          <w:rFonts w:hint="eastAsia" w:ascii="仿宋_GB2312" w:hAnsi="宋体" w:eastAsia="仿宋_GB2312" w:cs="Arial"/>
          <w:color w:val="auto"/>
          <w:kern w:val="0"/>
          <w:sz w:val="30"/>
          <w:szCs w:val="30"/>
          <w:highlight w:val="none"/>
        </w:rPr>
        <w:t>预算为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w:t>
      </w:r>
      <w:r>
        <w:rPr>
          <w:rFonts w:hint="eastAsia" w:ascii="仿宋_GB2312" w:hAnsi="宋体" w:eastAsia="仿宋_GB2312" w:cs="Arial"/>
          <w:color w:val="auto"/>
          <w:kern w:val="0"/>
          <w:sz w:val="30"/>
          <w:szCs w:val="30"/>
          <w:highlight w:val="none"/>
          <w:lang w:eastAsia="zh-CN"/>
        </w:rPr>
        <w:t>，决算为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元，占财政拨款“三公”经费</w:t>
      </w:r>
      <w:r>
        <w:rPr>
          <w:rFonts w:hint="eastAsia" w:ascii="仿宋_GB2312" w:hAnsi="宋体" w:eastAsia="仿宋_GB2312" w:cs="Arial"/>
          <w:color w:val="auto"/>
          <w:kern w:val="0"/>
          <w:sz w:val="30"/>
          <w:szCs w:val="30"/>
          <w:highlight w:val="none"/>
          <w:lang w:eastAsia="zh-CN"/>
        </w:rPr>
        <w:t>总支出决算的</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%；公务用车购置费支出</w:t>
      </w:r>
      <w:r>
        <w:rPr>
          <w:rFonts w:hint="eastAsia" w:ascii="仿宋_GB2312" w:hAnsi="宋体" w:eastAsia="仿宋_GB2312" w:cs="Arial"/>
          <w:color w:val="auto"/>
          <w:kern w:val="0"/>
          <w:sz w:val="30"/>
          <w:szCs w:val="30"/>
          <w:highlight w:val="none"/>
          <w:lang w:eastAsia="zh-CN"/>
        </w:rPr>
        <w:t>年初</w:t>
      </w:r>
      <w:r>
        <w:rPr>
          <w:rFonts w:hint="eastAsia" w:ascii="仿宋_GB2312" w:hAnsi="宋体" w:eastAsia="仿宋_GB2312" w:cs="Arial"/>
          <w:color w:val="auto"/>
          <w:kern w:val="0"/>
          <w:sz w:val="30"/>
          <w:szCs w:val="30"/>
          <w:highlight w:val="none"/>
        </w:rPr>
        <w:t>预算为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w:t>
      </w:r>
      <w:r>
        <w:rPr>
          <w:rFonts w:hint="eastAsia" w:ascii="仿宋_GB2312" w:hAnsi="宋体" w:eastAsia="仿宋_GB2312" w:cs="Arial"/>
          <w:color w:val="auto"/>
          <w:kern w:val="0"/>
          <w:sz w:val="30"/>
          <w:szCs w:val="30"/>
          <w:highlight w:val="none"/>
          <w:lang w:eastAsia="zh-CN"/>
        </w:rPr>
        <w:t>，决算为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元，占财政拨款“三公”经费</w:t>
      </w:r>
      <w:r>
        <w:rPr>
          <w:rFonts w:hint="eastAsia" w:ascii="仿宋_GB2312" w:hAnsi="宋体" w:eastAsia="仿宋_GB2312" w:cs="Arial"/>
          <w:color w:val="auto"/>
          <w:kern w:val="0"/>
          <w:sz w:val="30"/>
          <w:szCs w:val="30"/>
          <w:highlight w:val="none"/>
          <w:lang w:eastAsia="zh-CN"/>
        </w:rPr>
        <w:t>总支出决算的</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%；公务用车</w:t>
      </w:r>
      <w:r>
        <w:rPr>
          <w:rFonts w:hint="eastAsia" w:ascii="仿宋_GB2312" w:hAnsi="宋体" w:eastAsia="仿宋_GB2312" w:cs="Arial"/>
          <w:color w:val="auto"/>
          <w:kern w:val="0"/>
          <w:sz w:val="30"/>
          <w:szCs w:val="30"/>
          <w:highlight w:val="none"/>
          <w:lang w:eastAsia="zh-CN"/>
        </w:rPr>
        <w:t>运行维护</w:t>
      </w:r>
      <w:r>
        <w:rPr>
          <w:rFonts w:hint="eastAsia" w:ascii="仿宋_GB2312" w:hAnsi="宋体" w:eastAsia="仿宋_GB2312" w:cs="Arial"/>
          <w:color w:val="auto"/>
          <w:kern w:val="0"/>
          <w:sz w:val="30"/>
          <w:szCs w:val="30"/>
          <w:highlight w:val="none"/>
        </w:rPr>
        <w:t>费支出</w:t>
      </w:r>
      <w:r>
        <w:rPr>
          <w:rFonts w:hint="eastAsia" w:ascii="仿宋_GB2312" w:hAnsi="宋体" w:eastAsia="仿宋_GB2312" w:cs="Arial"/>
          <w:color w:val="auto"/>
          <w:kern w:val="0"/>
          <w:sz w:val="30"/>
          <w:szCs w:val="30"/>
          <w:highlight w:val="none"/>
          <w:lang w:eastAsia="zh-CN"/>
        </w:rPr>
        <w:t>年初</w:t>
      </w:r>
      <w:r>
        <w:rPr>
          <w:rFonts w:hint="eastAsia" w:ascii="仿宋_GB2312" w:hAnsi="宋体" w:eastAsia="仿宋_GB2312" w:cs="Arial"/>
          <w:color w:val="auto"/>
          <w:kern w:val="0"/>
          <w:sz w:val="30"/>
          <w:szCs w:val="30"/>
          <w:highlight w:val="none"/>
        </w:rPr>
        <w:t>预算为</w:t>
      </w:r>
      <w:r>
        <w:rPr>
          <w:rFonts w:hint="eastAsia" w:ascii="仿宋_GB2312" w:hAnsi="仿宋_GB2312" w:eastAsia="仿宋_GB2312" w:cs="仿宋_GB2312"/>
          <w:color w:val="auto"/>
          <w:sz w:val="30"/>
          <w:lang w:val="zh-CN"/>
        </w:rPr>
        <w:t>42629.00</w:t>
      </w:r>
      <w:r>
        <w:rPr>
          <w:rFonts w:hint="eastAsia" w:ascii="仿宋_GB2312" w:hAnsi="宋体" w:eastAsia="仿宋_GB2312" w:cs="Arial"/>
          <w:color w:val="auto"/>
          <w:kern w:val="0"/>
          <w:sz w:val="30"/>
          <w:szCs w:val="30"/>
          <w:highlight w:val="none"/>
        </w:rPr>
        <w:t>元</w:t>
      </w:r>
      <w:r>
        <w:rPr>
          <w:rFonts w:hint="eastAsia" w:ascii="仿宋_GB2312" w:hAnsi="宋体" w:eastAsia="仿宋_GB2312" w:cs="Arial"/>
          <w:color w:val="auto"/>
          <w:kern w:val="0"/>
          <w:sz w:val="30"/>
          <w:szCs w:val="30"/>
          <w:highlight w:val="none"/>
          <w:lang w:eastAsia="zh-CN"/>
        </w:rPr>
        <w:t>，决算为</w:t>
      </w:r>
      <w:r>
        <w:rPr>
          <w:rFonts w:hint="eastAsia" w:ascii="仿宋_GB2312" w:hAnsi="仿宋_GB2312" w:eastAsia="仿宋_GB2312" w:cs="仿宋_GB2312"/>
          <w:color w:val="auto"/>
          <w:sz w:val="30"/>
          <w:lang w:val="zh-CN"/>
        </w:rPr>
        <w:t>42583.60</w:t>
      </w:r>
      <w:r>
        <w:rPr>
          <w:rFonts w:hint="eastAsia" w:ascii="仿宋_GB2312" w:hAnsi="宋体" w:eastAsia="仿宋_GB2312" w:cs="Arial"/>
          <w:color w:val="auto"/>
          <w:kern w:val="0"/>
          <w:sz w:val="30"/>
          <w:szCs w:val="30"/>
          <w:highlight w:val="none"/>
        </w:rPr>
        <w:t>元，占财政拨款“三公”经费</w:t>
      </w:r>
      <w:r>
        <w:rPr>
          <w:rFonts w:hint="eastAsia" w:ascii="仿宋_GB2312" w:hAnsi="宋体" w:eastAsia="仿宋_GB2312" w:cs="Arial"/>
          <w:color w:val="auto"/>
          <w:kern w:val="0"/>
          <w:sz w:val="30"/>
          <w:szCs w:val="30"/>
          <w:highlight w:val="none"/>
          <w:lang w:eastAsia="zh-CN"/>
        </w:rPr>
        <w:t>总支出决算的</w:t>
      </w:r>
      <w:r>
        <w:rPr>
          <w:rFonts w:hint="eastAsia" w:ascii="仿宋_GB2312" w:hAnsi="仿宋_GB2312" w:eastAsia="仿宋_GB2312" w:cs="仿宋_GB2312"/>
          <w:color w:val="auto"/>
          <w:sz w:val="30"/>
          <w:lang w:val="zh-CN"/>
        </w:rPr>
        <w:t>100.00</w:t>
      </w:r>
      <w:r>
        <w:rPr>
          <w:rFonts w:hint="eastAsia" w:ascii="仿宋_GB2312" w:hAnsi="宋体" w:eastAsia="仿宋_GB2312" w:cs="Arial"/>
          <w:color w:val="auto"/>
          <w:kern w:val="0"/>
          <w:sz w:val="30"/>
          <w:szCs w:val="30"/>
          <w:highlight w:val="none"/>
        </w:rPr>
        <w:t>%</w:t>
      </w:r>
      <w:r>
        <w:rPr>
          <w:rFonts w:hint="eastAsia" w:ascii="仿宋_GB2312" w:hAnsi="宋体" w:eastAsia="仿宋_GB2312" w:cs="Arial"/>
          <w:color w:val="auto"/>
          <w:kern w:val="0"/>
          <w:sz w:val="30"/>
          <w:szCs w:val="30"/>
          <w:highlight w:val="none"/>
          <w:lang w:eastAsia="zh-CN"/>
        </w:rPr>
        <w:t>，完成年初预算的</w:t>
      </w:r>
      <w:r>
        <w:rPr>
          <w:rFonts w:hint="eastAsia" w:ascii="仿宋_GB2312" w:hAnsi="仿宋_GB2312" w:eastAsia="仿宋_GB2312" w:cs="仿宋_GB2312"/>
          <w:color w:val="auto"/>
          <w:sz w:val="30"/>
          <w:lang w:val="zh-CN"/>
        </w:rPr>
        <w:t>99.89</w:t>
      </w:r>
      <w:r>
        <w:rPr>
          <w:rFonts w:hint="eastAsia" w:ascii="仿宋_GB2312" w:hAnsi="宋体" w:eastAsia="仿宋_GB2312" w:cs="Arial"/>
          <w:color w:val="auto"/>
          <w:kern w:val="0"/>
          <w:sz w:val="30"/>
          <w:szCs w:val="30"/>
          <w:highlight w:val="none"/>
          <w:lang w:val="en-US" w:eastAsia="zh-CN"/>
        </w:rPr>
        <w:t>%；</w:t>
      </w:r>
      <w:r>
        <w:rPr>
          <w:rFonts w:hint="eastAsia" w:ascii="仿宋_GB2312" w:hAnsi="宋体" w:eastAsia="仿宋_GB2312" w:cs="Arial"/>
          <w:color w:val="auto"/>
          <w:kern w:val="0"/>
          <w:sz w:val="30"/>
          <w:szCs w:val="30"/>
          <w:highlight w:val="none"/>
        </w:rPr>
        <w:t>公务接待费支出</w:t>
      </w:r>
      <w:r>
        <w:rPr>
          <w:rFonts w:hint="eastAsia" w:ascii="仿宋_GB2312" w:hAnsi="宋体" w:eastAsia="仿宋_GB2312" w:cs="Arial"/>
          <w:color w:val="auto"/>
          <w:kern w:val="0"/>
          <w:sz w:val="30"/>
          <w:szCs w:val="30"/>
          <w:highlight w:val="none"/>
          <w:lang w:eastAsia="zh-CN"/>
        </w:rPr>
        <w:t>年初</w:t>
      </w:r>
      <w:r>
        <w:rPr>
          <w:rFonts w:hint="eastAsia" w:ascii="仿宋_GB2312" w:hAnsi="宋体" w:eastAsia="仿宋_GB2312" w:cs="Arial"/>
          <w:color w:val="auto"/>
          <w:kern w:val="0"/>
          <w:sz w:val="30"/>
          <w:szCs w:val="30"/>
          <w:highlight w:val="none"/>
        </w:rPr>
        <w:t>预算为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w:t>
      </w:r>
      <w:r>
        <w:rPr>
          <w:rFonts w:hint="eastAsia" w:ascii="仿宋_GB2312" w:hAnsi="宋体" w:eastAsia="仿宋_GB2312" w:cs="Arial"/>
          <w:color w:val="auto"/>
          <w:kern w:val="0"/>
          <w:sz w:val="30"/>
          <w:szCs w:val="30"/>
          <w:highlight w:val="none"/>
          <w:lang w:eastAsia="zh-CN"/>
        </w:rPr>
        <w:t>，决算为</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元，占财政拨款“三公”经费</w:t>
      </w:r>
      <w:r>
        <w:rPr>
          <w:rFonts w:hint="eastAsia" w:ascii="仿宋_GB2312" w:hAnsi="宋体" w:eastAsia="仿宋_GB2312" w:cs="Arial"/>
          <w:color w:val="auto"/>
          <w:kern w:val="0"/>
          <w:sz w:val="30"/>
          <w:szCs w:val="30"/>
          <w:highlight w:val="none"/>
          <w:lang w:eastAsia="zh-CN"/>
        </w:rPr>
        <w:t>总支出决算的</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rPr>
        <w:t>%</w:t>
      </w:r>
      <w:r>
        <w:rPr>
          <w:rFonts w:hint="eastAsia" w:ascii="仿宋_GB2312" w:eastAsia="仿宋_GB2312"/>
          <w:color w:val="auto"/>
          <w:sz w:val="30"/>
          <w:szCs w:val="30"/>
          <w:lang w:eastAsia="zh-CN"/>
        </w:rPr>
        <w:t>。</w:t>
      </w:r>
    </w:p>
    <w:p w14:paraId="12641EBF">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color w:val="auto"/>
          <w:kern w:val="0"/>
          <w:sz w:val="30"/>
          <w:szCs w:val="30"/>
          <w:highlight w:val="none"/>
          <w:lang w:eastAsia="zh-CN"/>
        </w:rPr>
      </w:pPr>
      <w:r>
        <w:rPr>
          <w:rFonts w:hint="eastAsia" w:ascii="仿宋_GB2312" w:eastAsia="仿宋_GB2312"/>
          <w:color w:val="auto"/>
          <w:sz w:val="30"/>
          <w:szCs w:val="30"/>
          <w:highlight w:val="none"/>
        </w:rPr>
        <w:t>因公出国（境）费</w:t>
      </w:r>
      <w:r>
        <w:rPr>
          <w:rFonts w:hint="eastAsia" w:ascii="仿宋_GB2312" w:eastAsia="仿宋_GB2312"/>
          <w:color w:val="auto"/>
          <w:sz w:val="30"/>
          <w:szCs w:val="30"/>
          <w:highlight w:val="none"/>
          <w:lang w:val="en-US" w:eastAsia="zh-CN"/>
        </w:rPr>
        <w:t>用</w:t>
      </w:r>
      <w:r>
        <w:rPr>
          <w:rFonts w:hint="eastAsia" w:ascii="仿宋_GB2312" w:hAnsi="宋体" w:eastAsia="仿宋_GB2312" w:cs="Arial"/>
          <w:color w:val="auto"/>
          <w:kern w:val="0"/>
          <w:sz w:val="30"/>
          <w:szCs w:val="30"/>
          <w:highlight w:val="none"/>
          <w:lang w:eastAsia="zh-CN"/>
        </w:rPr>
        <w:t>支出决算较上年增加</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val="en-US" w:eastAsia="zh-CN"/>
        </w:rPr>
        <w:t>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w:t>
      </w:r>
      <w:r>
        <w:rPr>
          <w:rFonts w:hint="eastAsia" w:ascii="仿宋_GB2312" w:eastAsia="仿宋_GB2312"/>
          <w:color w:val="auto"/>
          <w:sz w:val="30"/>
          <w:szCs w:val="30"/>
          <w:highlight w:val="none"/>
        </w:rPr>
        <w:t>公务用车购置费</w:t>
      </w:r>
      <w:r>
        <w:rPr>
          <w:rFonts w:hint="eastAsia" w:ascii="仿宋_GB2312" w:hAnsi="宋体" w:eastAsia="仿宋_GB2312" w:cs="Arial"/>
          <w:color w:val="auto"/>
          <w:kern w:val="0"/>
          <w:sz w:val="30"/>
          <w:szCs w:val="30"/>
          <w:highlight w:val="none"/>
          <w:lang w:eastAsia="zh-CN"/>
        </w:rPr>
        <w:t>支出决算较上年增加</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val="en-US" w:eastAsia="zh-CN"/>
        </w:rPr>
        <w:t>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w:t>
      </w:r>
      <w:r>
        <w:rPr>
          <w:rFonts w:hint="eastAsia" w:ascii="仿宋_GB2312" w:eastAsia="仿宋_GB2312"/>
          <w:color w:val="auto"/>
          <w:sz w:val="30"/>
          <w:szCs w:val="30"/>
          <w:highlight w:val="none"/>
        </w:rPr>
        <w:t>公务用车</w:t>
      </w:r>
      <w:r>
        <w:rPr>
          <w:rFonts w:hint="eastAsia" w:ascii="仿宋_GB2312" w:eastAsia="仿宋_GB2312"/>
          <w:color w:val="auto"/>
          <w:sz w:val="30"/>
          <w:szCs w:val="30"/>
          <w:highlight w:val="none"/>
          <w:lang w:eastAsia="zh-CN"/>
        </w:rPr>
        <w:t>运行维护费</w:t>
      </w:r>
      <w:r>
        <w:rPr>
          <w:rFonts w:hint="eastAsia" w:ascii="仿宋_GB2312" w:hAnsi="宋体" w:eastAsia="仿宋_GB2312" w:cs="Arial"/>
          <w:color w:val="auto"/>
          <w:kern w:val="0"/>
          <w:sz w:val="30"/>
          <w:szCs w:val="30"/>
          <w:highlight w:val="none"/>
          <w:lang w:eastAsia="zh-CN"/>
        </w:rPr>
        <w:t>支出决算较上年</w:t>
      </w:r>
      <w:r>
        <w:rPr>
          <w:rFonts w:hint="eastAsia" w:ascii="仿宋_GB2312" w:hAnsi="宋体" w:eastAsia="仿宋_GB2312" w:cs="Arial"/>
          <w:color w:val="auto"/>
          <w:kern w:val="0"/>
          <w:sz w:val="30"/>
          <w:szCs w:val="30"/>
          <w:highlight w:val="none"/>
          <w:lang w:val="en-US" w:eastAsia="zh-CN"/>
        </w:rPr>
        <w:t>减少</w:t>
      </w:r>
      <w:r>
        <w:rPr>
          <w:rFonts w:hint="eastAsia" w:ascii="仿宋_GB2312" w:hAnsi="仿宋_GB2312" w:eastAsia="仿宋_GB2312" w:cs="仿宋_GB2312"/>
          <w:color w:val="auto"/>
          <w:sz w:val="30"/>
          <w:lang w:val="zh-CN"/>
        </w:rPr>
        <w:t>46.40</w:t>
      </w:r>
      <w:r>
        <w:rPr>
          <w:rFonts w:hint="eastAsia" w:ascii="仿宋_GB2312" w:hAnsi="宋体" w:eastAsia="仿宋_GB2312" w:cs="Arial"/>
          <w:color w:val="auto"/>
          <w:kern w:val="0"/>
          <w:sz w:val="30"/>
          <w:szCs w:val="30"/>
          <w:highlight w:val="none"/>
          <w:lang w:val="en-US" w:eastAsia="zh-CN"/>
        </w:rPr>
        <w:t>元，下降</w:t>
      </w:r>
      <w:r>
        <w:rPr>
          <w:rFonts w:hint="eastAsia" w:ascii="仿宋_GB2312" w:hAnsi="仿宋_GB2312" w:eastAsia="仿宋_GB2312" w:cs="仿宋_GB2312"/>
          <w:color w:val="auto"/>
          <w:sz w:val="30"/>
          <w:lang w:val="zh-CN"/>
        </w:rPr>
        <w:t>0.11</w:t>
      </w:r>
      <w:r>
        <w:rPr>
          <w:rFonts w:hint="eastAsia" w:ascii="仿宋_GB2312" w:hAnsi="宋体" w:eastAsia="仿宋_GB2312" w:cs="Arial"/>
          <w:color w:val="auto"/>
          <w:kern w:val="0"/>
          <w:sz w:val="30"/>
          <w:szCs w:val="30"/>
          <w:highlight w:val="none"/>
          <w:lang w:val="en-US" w:eastAsia="zh-CN"/>
        </w:rPr>
        <w:t>%</w:t>
      </w:r>
      <w:r>
        <w:rPr>
          <w:rFonts w:hint="eastAsia" w:ascii="仿宋_GB2312" w:hAnsi="宋体" w:eastAsia="仿宋_GB2312" w:cs="Arial"/>
          <w:color w:val="auto"/>
          <w:kern w:val="0"/>
          <w:sz w:val="30"/>
          <w:szCs w:val="30"/>
          <w:highlight w:val="none"/>
          <w:lang w:eastAsia="zh-CN"/>
        </w:rPr>
        <w:t>；</w:t>
      </w:r>
      <w:r>
        <w:rPr>
          <w:rFonts w:hint="eastAsia" w:ascii="仿宋_GB2312" w:eastAsia="仿宋_GB2312"/>
          <w:color w:val="auto"/>
          <w:sz w:val="30"/>
          <w:szCs w:val="30"/>
          <w:highlight w:val="none"/>
        </w:rPr>
        <w:t>公务接待费</w:t>
      </w:r>
      <w:r>
        <w:rPr>
          <w:rFonts w:hint="eastAsia" w:ascii="仿宋_GB2312" w:hAnsi="宋体" w:eastAsia="仿宋_GB2312" w:cs="Arial"/>
          <w:color w:val="auto"/>
          <w:kern w:val="0"/>
          <w:sz w:val="30"/>
          <w:szCs w:val="30"/>
          <w:highlight w:val="none"/>
          <w:lang w:eastAsia="zh-CN"/>
        </w:rPr>
        <w:t>支出决算较上年增加</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val="en-US" w:eastAsia="zh-CN"/>
        </w:rPr>
        <w:t>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；具体是国内接待费支出决算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元（其中：外事接待费支出决算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元），较上年增加</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val="en-US" w:eastAsia="zh-CN"/>
        </w:rPr>
        <w:t>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国（境）外接待费支出决算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元较上年增加</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val="en-US" w:eastAsia="zh-CN"/>
        </w:rPr>
        <w:t>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w:t>
      </w:r>
    </w:p>
    <w:p w14:paraId="702965F1">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outlineLvl w:val="2"/>
        <w:rPr>
          <w:rFonts w:hint="eastAsia" w:ascii="楷体_GB2312" w:hAnsi="楷体_GB2312" w:eastAsia="楷体_GB2312" w:cs="楷体_GB2312"/>
          <w:kern w:val="0"/>
          <w:sz w:val="30"/>
          <w:szCs w:val="30"/>
          <w:highlight w:val="none"/>
          <w:lang w:val="en-US" w:eastAsia="zh-CN"/>
        </w:rPr>
      </w:pPr>
      <w:r>
        <w:rPr>
          <w:rFonts w:hint="eastAsia" w:ascii="楷体_GB2312" w:hAnsi="楷体_GB2312" w:eastAsia="楷体_GB2312" w:cs="楷体_GB2312"/>
          <w:kern w:val="0"/>
          <w:sz w:val="30"/>
          <w:szCs w:val="30"/>
          <w:highlight w:val="none"/>
          <w:lang w:val="en-US" w:eastAsia="zh-CN"/>
        </w:rPr>
        <w:t>（二）一般公共预算财政拨款“三公”经费支出决算情况说明</w:t>
      </w:r>
    </w:p>
    <w:p w14:paraId="0756F87E">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hAnsi="宋体" w:eastAsia="仿宋_GB2312" w:cs="Arial"/>
          <w:kern w:val="0"/>
          <w:sz w:val="30"/>
          <w:szCs w:val="30"/>
          <w:highlight w:val="none"/>
          <w:lang w:eastAsia="zh-CN"/>
        </w:rPr>
      </w:pP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一般公共预算财政拨款“三公”经费支出</w:t>
      </w:r>
      <w:r>
        <w:rPr>
          <w:rFonts w:hint="eastAsia" w:ascii="仿宋_GB2312" w:hAnsi="宋体" w:eastAsia="仿宋_GB2312" w:cs="Arial"/>
          <w:kern w:val="0"/>
          <w:sz w:val="30"/>
          <w:szCs w:val="30"/>
          <w:highlight w:val="none"/>
          <w:lang w:eastAsia="zh-CN"/>
        </w:rPr>
        <w:t>年初</w:t>
      </w:r>
      <w:r>
        <w:rPr>
          <w:rFonts w:hint="eastAsia" w:ascii="仿宋_GB2312" w:eastAsia="仿宋_GB2312"/>
          <w:sz w:val="30"/>
          <w:szCs w:val="30"/>
          <w:highlight w:val="none"/>
        </w:rPr>
        <w:t>预算为</w:t>
      </w:r>
      <w:r>
        <w:rPr>
          <w:rFonts w:hint="eastAsia" w:ascii="仿宋_GB2312" w:hAnsi="仿宋_GB2312" w:eastAsia="仿宋_GB2312" w:cs="仿宋_GB2312"/>
          <w:color w:val="000000"/>
          <w:sz w:val="30"/>
          <w:lang w:val="zh-CN"/>
        </w:rPr>
        <w:t>42629.00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，支出决算为</w:t>
      </w:r>
      <w:r>
        <w:rPr>
          <w:rFonts w:hint="eastAsia" w:ascii="仿宋_GB2312" w:hAnsi="仿宋_GB2312" w:eastAsia="仿宋_GB2312" w:cs="仿宋_GB2312"/>
          <w:color w:val="000000"/>
          <w:sz w:val="30"/>
          <w:lang w:val="zh-CN"/>
        </w:rPr>
        <w:t>42583.60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，完成</w:t>
      </w:r>
      <w:r>
        <w:rPr>
          <w:rFonts w:hint="eastAsia" w:ascii="仿宋_GB2312" w:hAnsi="宋体" w:eastAsia="仿宋_GB2312" w:cs="Arial"/>
          <w:kern w:val="0"/>
          <w:sz w:val="30"/>
          <w:szCs w:val="30"/>
          <w:highlight w:val="none"/>
          <w:lang w:eastAsia="zh-CN"/>
        </w:rPr>
        <w:t>年初</w:t>
      </w:r>
      <w:r>
        <w:rPr>
          <w:rFonts w:hint="eastAsia" w:ascii="仿宋_GB2312" w:eastAsia="仿宋_GB2312"/>
          <w:sz w:val="30"/>
          <w:szCs w:val="30"/>
          <w:highlight w:val="none"/>
        </w:rPr>
        <w:t>预算的</w:t>
      </w:r>
      <w:r>
        <w:rPr>
          <w:rFonts w:hint="eastAsia" w:ascii="仿宋_GB2312" w:hAnsi="仿宋_GB2312" w:eastAsia="仿宋_GB2312" w:cs="仿宋_GB2312"/>
          <w:color w:val="000000"/>
          <w:sz w:val="30"/>
          <w:lang w:val="zh-CN"/>
        </w:rPr>
        <w:t>99.89</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w:t>
      </w:r>
      <w:r>
        <w:rPr>
          <w:rFonts w:hint="eastAsia" w:ascii="仿宋_GB2312" w:hAnsi="宋体" w:eastAsia="仿宋_GB2312" w:cs="Arial"/>
          <w:kern w:val="0"/>
          <w:sz w:val="30"/>
          <w:szCs w:val="30"/>
          <w:highlight w:val="none"/>
          <w:lang w:eastAsia="zh-CN"/>
        </w:rPr>
        <w:t>支出决算较上年</w:t>
      </w:r>
      <w:r>
        <w:rPr>
          <w:rFonts w:hint="eastAsia" w:ascii="仿宋_GB2312" w:hAnsi="宋体" w:eastAsia="仿宋_GB2312" w:cs="Arial"/>
          <w:kern w:val="0"/>
          <w:sz w:val="30"/>
          <w:szCs w:val="30"/>
          <w:highlight w:val="none"/>
          <w:lang w:val="en-US" w:eastAsia="zh-CN"/>
        </w:rPr>
        <w:t>减少</w:t>
      </w:r>
      <w:r>
        <w:rPr>
          <w:rFonts w:hint="eastAsia" w:ascii="仿宋_GB2312" w:hAnsi="仿宋_GB2312" w:eastAsia="仿宋_GB2312" w:cs="仿宋_GB2312"/>
          <w:color w:val="000000"/>
          <w:sz w:val="30"/>
          <w:lang w:val="zh-CN"/>
        </w:rPr>
        <w:t>46.40</w:t>
      </w:r>
      <w:r>
        <w:rPr>
          <w:rFonts w:hint="eastAsia" w:ascii="仿宋_GB2312" w:hAnsi="宋体" w:eastAsia="仿宋_GB2312" w:cs="Arial"/>
          <w:kern w:val="0"/>
          <w:sz w:val="30"/>
          <w:szCs w:val="30"/>
          <w:highlight w:val="none"/>
          <w:lang w:val="en-US" w:eastAsia="zh-CN"/>
        </w:rPr>
        <w:t>元，下降</w:t>
      </w:r>
      <w:r>
        <w:rPr>
          <w:rFonts w:hint="eastAsia" w:ascii="仿宋_GB2312" w:hAnsi="仿宋_GB2312" w:eastAsia="仿宋_GB2312" w:cs="仿宋_GB2312"/>
          <w:color w:val="000000"/>
          <w:sz w:val="30"/>
          <w:lang w:val="zh-CN"/>
        </w:rPr>
        <w:t>0.11</w:t>
      </w:r>
      <w:r>
        <w:rPr>
          <w:rFonts w:hint="eastAsia" w:ascii="仿宋_GB2312" w:hAnsi="宋体" w:eastAsia="仿宋_GB2312" w:cs="Arial"/>
          <w:kern w:val="0"/>
          <w:sz w:val="30"/>
          <w:szCs w:val="30"/>
          <w:highlight w:val="none"/>
          <w:lang w:val="en-US" w:eastAsia="zh-CN"/>
        </w:rPr>
        <w:t>%</w:t>
      </w:r>
      <w:r>
        <w:rPr>
          <w:rFonts w:hint="eastAsia" w:ascii="仿宋_GB2312" w:hAnsi="宋体" w:eastAsia="仿宋_GB2312" w:cs="Arial"/>
          <w:kern w:val="0"/>
          <w:sz w:val="30"/>
          <w:szCs w:val="30"/>
          <w:highlight w:val="none"/>
          <w:lang w:eastAsia="zh-CN"/>
        </w:rPr>
        <w:t>。</w:t>
      </w:r>
    </w:p>
    <w:p w14:paraId="52E7D40B">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color w:val="auto"/>
          <w:sz w:val="30"/>
          <w:szCs w:val="30"/>
          <w:highlight w:val="none"/>
        </w:rPr>
      </w:pPr>
      <w:r>
        <w:rPr>
          <w:rFonts w:hint="eastAsia" w:ascii="仿宋_GB2312" w:eastAsia="仿宋_GB2312"/>
          <w:sz w:val="30"/>
          <w:szCs w:val="30"/>
          <w:highlight w:val="none"/>
        </w:rPr>
        <w:t>一般公共预算财政拨款“三公”经费支出</w:t>
      </w:r>
      <w:r>
        <w:rPr>
          <w:rFonts w:hint="eastAsia" w:ascii="仿宋_GB2312" w:eastAsia="仿宋_GB2312"/>
          <w:sz w:val="30"/>
          <w:szCs w:val="30"/>
          <w:highlight w:val="none"/>
          <w:lang w:eastAsia="zh-CN"/>
        </w:rPr>
        <w:t>中：</w:t>
      </w:r>
      <w:r>
        <w:rPr>
          <w:rFonts w:hint="eastAsia" w:ascii="仿宋_GB2312" w:eastAsia="仿宋_GB2312"/>
          <w:sz w:val="30"/>
          <w:szCs w:val="30"/>
          <w:highlight w:val="none"/>
        </w:rPr>
        <w:t>因公出国（境）费</w:t>
      </w:r>
      <w:r>
        <w:rPr>
          <w:rFonts w:hint="eastAsia" w:ascii="仿宋_GB2312" w:eastAsia="仿宋_GB2312"/>
          <w:sz w:val="30"/>
          <w:szCs w:val="30"/>
          <w:highlight w:val="none"/>
          <w:lang w:val="en-US" w:eastAsia="zh-CN"/>
        </w:rPr>
        <w:t>用</w:t>
      </w:r>
      <w:r>
        <w:rPr>
          <w:rFonts w:hint="eastAsia" w:ascii="仿宋_GB2312" w:eastAsia="仿宋_GB2312"/>
          <w:sz w:val="30"/>
          <w:szCs w:val="30"/>
          <w:highlight w:val="none"/>
        </w:rPr>
        <w:t>支出</w:t>
      </w:r>
      <w:r>
        <w:rPr>
          <w:rFonts w:hint="eastAsia" w:ascii="仿宋_GB2312" w:eastAsia="仿宋_GB2312"/>
          <w:sz w:val="30"/>
          <w:szCs w:val="30"/>
          <w:highlight w:val="none"/>
          <w:lang w:eastAsia="zh-CN"/>
        </w:rPr>
        <w:t>年</w:t>
      </w:r>
      <w:r>
        <w:rPr>
          <w:rFonts w:hint="eastAsia" w:ascii="仿宋_GB2312" w:hAnsi="宋体" w:eastAsia="仿宋_GB2312" w:cs="Arial"/>
          <w:kern w:val="0"/>
          <w:sz w:val="30"/>
          <w:szCs w:val="30"/>
          <w:highlight w:val="none"/>
          <w:lang w:eastAsia="zh-CN"/>
        </w:rPr>
        <w:t>初</w:t>
      </w:r>
      <w:r>
        <w:rPr>
          <w:rFonts w:hint="eastAsia" w:ascii="仿宋_GB2312" w:eastAsia="仿宋_GB2312"/>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，决算为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；公务用车购置费支出</w:t>
      </w:r>
      <w:r>
        <w:rPr>
          <w:rFonts w:hint="eastAsia" w:ascii="仿宋_GB2312" w:eastAsia="仿宋_GB2312"/>
          <w:sz w:val="30"/>
          <w:szCs w:val="30"/>
          <w:highlight w:val="none"/>
          <w:lang w:eastAsia="zh-CN"/>
        </w:rPr>
        <w:t>年</w:t>
      </w:r>
      <w:r>
        <w:rPr>
          <w:rFonts w:hint="eastAsia" w:ascii="仿宋_GB2312" w:hAnsi="宋体" w:eastAsia="仿宋_GB2312" w:cs="Arial"/>
          <w:kern w:val="0"/>
          <w:sz w:val="30"/>
          <w:szCs w:val="30"/>
          <w:highlight w:val="none"/>
          <w:lang w:eastAsia="zh-CN"/>
        </w:rPr>
        <w:t>初</w:t>
      </w:r>
      <w:r>
        <w:rPr>
          <w:rFonts w:hint="eastAsia" w:ascii="仿宋_GB2312" w:eastAsia="仿宋_GB2312"/>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，决算为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；公务用车</w:t>
      </w:r>
      <w:r>
        <w:rPr>
          <w:rFonts w:hint="eastAsia" w:ascii="仿宋_GB2312" w:eastAsia="仿宋_GB2312"/>
          <w:sz w:val="30"/>
          <w:szCs w:val="30"/>
          <w:highlight w:val="none"/>
          <w:lang w:eastAsia="zh-CN"/>
        </w:rPr>
        <w:t>运行维护费</w:t>
      </w:r>
      <w:r>
        <w:rPr>
          <w:rFonts w:hint="eastAsia" w:ascii="仿宋_GB2312" w:eastAsia="仿宋_GB2312"/>
          <w:sz w:val="30"/>
          <w:szCs w:val="30"/>
          <w:highlight w:val="none"/>
        </w:rPr>
        <w:t>支出</w:t>
      </w:r>
      <w:r>
        <w:rPr>
          <w:rFonts w:hint="eastAsia" w:ascii="仿宋_GB2312" w:eastAsia="仿宋_GB2312"/>
          <w:sz w:val="30"/>
          <w:szCs w:val="30"/>
          <w:highlight w:val="none"/>
          <w:lang w:eastAsia="zh-CN"/>
        </w:rPr>
        <w:t>年</w:t>
      </w:r>
      <w:r>
        <w:rPr>
          <w:rFonts w:hint="eastAsia" w:ascii="仿宋_GB2312" w:hAnsi="宋体" w:eastAsia="仿宋_GB2312" w:cs="Arial"/>
          <w:kern w:val="0"/>
          <w:sz w:val="30"/>
          <w:szCs w:val="30"/>
          <w:highlight w:val="none"/>
          <w:lang w:eastAsia="zh-CN"/>
        </w:rPr>
        <w:t>初</w:t>
      </w:r>
      <w:r>
        <w:rPr>
          <w:rFonts w:hint="eastAsia" w:ascii="仿宋_GB2312" w:eastAsia="仿宋_GB2312"/>
          <w:sz w:val="30"/>
          <w:szCs w:val="30"/>
          <w:highlight w:val="none"/>
        </w:rPr>
        <w:t>预算为</w:t>
      </w:r>
      <w:r>
        <w:rPr>
          <w:rFonts w:hint="eastAsia" w:ascii="仿宋_GB2312" w:hAnsi="仿宋_GB2312" w:eastAsia="仿宋_GB2312" w:cs="仿宋_GB2312"/>
          <w:color w:val="000000"/>
          <w:sz w:val="30"/>
          <w:lang w:val="zh-CN"/>
        </w:rPr>
        <w:t>42629.00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，决算为</w:t>
      </w:r>
      <w:r>
        <w:rPr>
          <w:rFonts w:hint="eastAsia" w:ascii="仿宋_GB2312" w:hAnsi="仿宋_GB2312" w:eastAsia="仿宋_GB2312" w:cs="仿宋_GB2312"/>
          <w:color w:val="000000"/>
          <w:sz w:val="30"/>
          <w:lang w:val="zh-CN"/>
        </w:rPr>
        <w:t>42583.60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，完成</w:t>
      </w:r>
      <w:r>
        <w:rPr>
          <w:rFonts w:hint="eastAsia" w:ascii="仿宋_GB2312" w:hAnsi="宋体" w:eastAsia="仿宋_GB2312" w:cs="Arial"/>
          <w:kern w:val="0"/>
          <w:sz w:val="30"/>
          <w:szCs w:val="30"/>
          <w:highlight w:val="none"/>
          <w:lang w:eastAsia="zh-CN"/>
        </w:rPr>
        <w:t>年初</w:t>
      </w:r>
      <w:r>
        <w:rPr>
          <w:rFonts w:hint="eastAsia" w:ascii="仿宋_GB2312" w:eastAsia="仿宋_GB2312"/>
          <w:sz w:val="30"/>
          <w:szCs w:val="30"/>
          <w:highlight w:val="none"/>
        </w:rPr>
        <w:t>预算的</w:t>
      </w:r>
      <w:r>
        <w:rPr>
          <w:rFonts w:hint="eastAsia" w:ascii="仿宋_GB2312" w:hAnsi="仿宋_GB2312" w:eastAsia="仿宋_GB2312" w:cs="仿宋_GB2312"/>
          <w:color w:val="000000"/>
          <w:sz w:val="30"/>
          <w:lang w:val="zh-CN"/>
        </w:rPr>
        <w:t>99.89</w:t>
      </w:r>
      <w:r>
        <w:rPr>
          <w:rFonts w:hint="eastAsia" w:ascii="仿宋_GB2312" w:eastAsia="仿宋_GB2312"/>
          <w:sz w:val="30"/>
          <w:szCs w:val="30"/>
          <w:highlight w:val="none"/>
        </w:rPr>
        <w:t>%；公务接待费支出</w:t>
      </w:r>
      <w:r>
        <w:rPr>
          <w:rFonts w:hint="eastAsia" w:ascii="仿宋_GB2312" w:eastAsia="仿宋_GB2312"/>
          <w:sz w:val="30"/>
          <w:szCs w:val="30"/>
          <w:highlight w:val="none"/>
          <w:lang w:eastAsia="zh-CN"/>
        </w:rPr>
        <w:t>年</w:t>
      </w:r>
      <w:r>
        <w:rPr>
          <w:rFonts w:hint="eastAsia" w:ascii="仿宋_GB2312" w:hAnsi="宋体" w:eastAsia="仿宋_GB2312" w:cs="Arial"/>
          <w:kern w:val="0"/>
          <w:sz w:val="30"/>
          <w:szCs w:val="30"/>
          <w:highlight w:val="none"/>
          <w:lang w:eastAsia="zh-CN"/>
        </w:rPr>
        <w:t>初</w:t>
      </w:r>
      <w:r>
        <w:rPr>
          <w:rFonts w:hint="eastAsia" w:ascii="仿宋_GB2312" w:eastAsia="仿宋_GB2312"/>
          <w:sz w:val="30"/>
          <w:szCs w:val="30"/>
          <w:highlight w:val="none"/>
        </w:rPr>
        <w:t>预算为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，决算为</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w:t>
      </w:r>
      <w:r>
        <w:rPr>
          <w:rFonts w:hint="eastAsia" w:ascii="仿宋_GB2312" w:eastAsia="仿宋_GB2312"/>
          <w:sz w:val="30"/>
          <w:szCs w:val="30"/>
          <w:highlight w:val="none"/>
          <w:lang w:val="en-US" w:eastAsia="zh-CN"/>
        </w:rPr>
        <w:t>2025年度</w:t>
      </w:r>
      <w:r>
        <w:rPr>
          <w:rFonts w:hint="eastAsia" w:ascii="仿宋_GB2312" w:eastAsia="仿宋_GB2312"/>
          <w:sz w:val="30"/>
          <w:szCs w:val="30"/>
          <w:highlight w:val="none"/>
        </w:rPr>
        <w:t>一般公共</w:t>
      </w:r>
      <w:r>
        <w:rPr>
          <w:rFonts w:hint="eastAsia" w:ascii="仿宋_GB2312" w:eastAsia="仿宋_GB2312"/>
          <w:color w:val="auto"/>
          <w:sz w:val="30"/>
          <w:szCs w:val="30"/>
          <w:highlight w:val="none"/>
        </w:rPr>
        <w:t>预算财政拨款“三公”经费支出决算数小于</w:t>
      </w:r>
      <w:r>
        <w:rPr>
          <w:rFonts w:hint="eastAsia" w:ascii="仿宋_GB2312" w:hAnsi="宋体" w:eastAsia="仿宋_GB2312" w:cs="Arial"/>
          <w:color w:val="auto"/>
          <w:kern w:val="0"/>
          <w:sz w:val="30"/>
          <w:szCs w:val="30"/>
          <w:highlight w:val="none"/>
          <w:lang w:eastAsia="zh-CN"/>
        </w:rPr>
        <w:t>年初</w:t>
      </w:r>
      <w:r>
        <w:rPr>
          <w:rFonts w:hint="eastAsia" w:ascii="仿宋_GB2312" w:eastAsia="仿宋_GB2312"/>
          <w:color w:val="auto"/>
          <w:sz w:val="30"/>
          <w:szCs w:val="30"/>
          <w:highlight w:val="none"/>
        </w:rPr>
        <w:t>预算数的主要原因</w:t>
      </w:r>
      <w:r>
        <w:rPr>
          <w:rFonts w:hint="eastAsia" w:ascii="仿宋_GB2312" w:eastAsia="仿宋_GB2312"/>
          <w:color w:val="auto"/>
          <w:sz w:val="30"/>
          <w:szCs w:val="30"/>
          <w:highlight w:val="none"/>
          <w:lang w:eastAsia="zh-CN"/>
        </w:rPr>
        <w:t>是：部分资金用于公务用车保险和维修的政府采购，中标价低于预算金额，剩余资金无法支出</w:t>
      </w:r>
      <w:r>
        <w:rPr>
          <w:rFonts w:hint="eastAsia" w:ascii="仿宋_GB2312" w:eastAsia="仿宋_GB2312"/>
          <w:color w:val="auto"/>
          <w:sz w:val="30"/>
          <w:szCs w:val="30"/>
          <w:highlight w:val="none"/>
        </w:rPr>
        <w:t>。</w:t>
      </w:r>
    </w:p>
    <w:p w14:paraId="12347A7D">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color w:val="auto"/>
          <w:sz w:val="30"/>
          <w:szCs w:val="30"/>
          <w:highlight w:val="none"/>
        </w:rPr>
      </w:pPr>
      <w:r>
        <w:rPr>
          <w:rFonts w:hint="eastAsia" w:ascii="仿宋_GB2312" w:eastAsia="仿宋_GB2312"/>
          <w:color w:val="auto"/>
          <w:sz w:val="30"/>
          <w:szCs w:val="30"/>
          <w:highlight w:val="none"/>
        </w:rPr>
        <w:t>一般公共预算财政拨款“三公”经费支出</w:t>
      </w:r>
      <w:r>
        <w:rPr>
          <w:rFonts w:hint="eastAsia" w:ascii="仿宋_GB2312" w:eastAsia="仿宋_GB2312"/>
          <w:color w:val="auto"/>
          <w:sz w:val="30"/>
          <w:szCs w:val="30"/>
          <w:highlight w:val="none"/>
          <w:lang w:eastAsia="zh-CN"/>
        </w:rPr>
        <w:t>中：</w:t>
      </w:r>
      <w:r>
        <w:rPr>
          <w:rFonts w:hint="eastAsia" w:ascii="仿宋_GB2312" w:eastAsia="仿宋_GB2312"/>
          <w:color w:val="auto"/>
          <w:sz w:val="30"/>
          <w:szCs w:val="30"/>
          <w:highlight w:val="none"/>
        </w:rPr>
        <w:t>因公出国（境）费</w:t>
      </w:r>
      <w:r>
        <w:rPr>
          <w:rFonts w:hint="eastAsia" w:ascii="仿宋_GB2312" w:eastAsia="仿宋_GB2312"/>
          <w:color w:val="auto"/>
          <w:sz w:val="30"/>
          <w:szCs w:val="30"/>
          <w:highlight w:val="none"/>
          <w:lang w:val="en-US" w:eastAsia="zh-CN"/>
        </w:rPr>
        <w:t>用</w:t>
      </w:r>
      <w:r>
        <w:rPr>
          <w:rFonts w:hint="eastAsia" w:ascii="仿宋_GB2312" w:eastAsia="仿宋_GB2312"/>
          <w:color w:val="auto"/>
          <w:sz w:val="30"/>
          <w:szCs w:val="30"/>
          <w:highlight w:val="none"/>
        </w:rPr>
        <w:t>支出决算增加</w:t>
      </w:r>
      <w:r>
        <w:rPr>
          <w:rFonts w:hint="eastAsia" w:ascii="仿宋_GB2312" w:hAnsi="仿宋_GB2312" w:eastAsia="仿宋_GB2312" w:cs="仿宋_GB2312"/>
          <w:color w:val="auto"/>
          <w:sz w:val="30"/>
          <w:lang w:val="zh-CN"/>
        </w:rPr>
        <w:t>0.00</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上年无此项支出</w:t>
      </w:r>
      <w:r>
        <w:rPr>
          <w:rFonts w:hint="eastAsia" w:ascii="仿宋_GB2312" w:eastAsia="仿宋_GB2312"/>
          <w:color w:val="auto"/>
          <w:sz w:val="30"/>
          <w:szCs w:val="30"/>
          <w:highlight w:val="none"/>
        </w:rPr>
        <w:t>；公务用车购置费支出决算增加</w:t>
      </w:r>
      <w:r>
        <w:rPr>
          <w:rFonts w:hint="eastAsia" w:ascii="仿宋_GB2312" w:hAnsi="仿宋_GB2312" w:eastAsia="仿宋_GB2312" w:cs="仿宋_GB2312"/>
          <w:color w:val="auto"/>
          <w:sz w:val="30"/>
          <w:lang w:val="zh-CN"/>
        </w:rPr>
        <w:t>0.00</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上年无此项支出</w:t>
      </w:r>
      <w:r>
        <w:rPr>
          <w:rFonts w:hint="eastAsia" w:ascii="仿宋_GB2312" w:eastAsia="仿宋_GB2312"/>
          <w:color w:val="auto"/>
          <w:sz w:val="30"/>
          <w:szCs w:val="30"/>
          <w:highlight w:val="none"/>
        </w:rPr>
        <w:t>；公务用车</w:t>
      </w:r>
      <w:r>
        <w:rPr>
          <w:rFonts w:hint="eastAsia" w:ascii="仿宋_GB2312" w:eastAsia="仿宋_GB2312"/>
          <w:color w:val="auto"/>
          <w:sz w:val="30"/>
          <w:szCs w:val="30"/>
          <w:highlight w:val="none"/>
          <w:lang w:eastAsia="zh-CN"/>
        </w:rPr>
        <w:t>运行维护费</w:t>
      </w:r>
      <w:r>
        <w:rPr>
          <w:rFonts w:hint="eastAsia" w:ascii="仿宋_GB2312" w:eastAsia="仿宋_GB2312"/>
          <w:color w:val="auto"/>
          <w:sz w:val="30"/>
          <w:szCs w:val="30"/>
          <w:highlight w:val="none"/>
        </w:rPr>
        <w:t>支出决算减少</w:t>
      </w:r>
      <w:r>
        <w:rPr>
          <w:rFonts w:hint="eastAsia" w:ascii="仿宋_GB2312" w:hAnsi="仿宋_GB2312" w:eastAsia="仿宋_GB2312" w:cs="仿宋_GB2312"/>
          <w:color w:val="auto"/>
          <w:sz w:val="30"/>
          <w:lang w:val="zh-CN"/>
        </w:rPr>
        <w:t>46.40</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，下降</w:t>
      </w:r>
      <w:r>
        <w:rPr>
          <w:rFonts w:hint="eastAsia" w:ascii="仿宋_GB2312" w:hAnsi="仿宋_GB2312" w:eastAsia="仿宋_GB2312" w:cs="仿宋_GB2312"/>
          <w:color w:val="auto"/>
          <w:sz w:val="30"/>
          <w:lang w:val="zh-CN"/>
        </w:rPr>
        <w:t>0.11</w:t>
      </w:r>
      <w:r>
        <w:rPr>
          <w:rFonts w:hint="eastAsia" w:ascii="仿宋_GB2312" w:eastAsia="仿宋_GB2312"/>
          <w:color w:val="auto"/>
          <w:sz w:val="30"/>
          <w:szCs w:val="30"/>
          <w:highlight w:val="none"/>
        </w:rPr>
        <w:t>%；公务接待费支出决算增加</w:t>
      </w:r>
      <w:r>
        <w:rPr>
          <w:rFonts w:hint="eastAsia" w:ascii="仿宋_GB2312" w:hAnsi="仿宋_GB2312" w:eastAsia="仿宋_GB2312" w:cs="仿宋_GB2312"/>
          <w:color w:val="auto"/>
          <w:sz w:val="30"/>
          <w:lang w:val="zh-CN"/>
        </w:rPr>
        <w:t>0.00</w:t>
      </w:r>
      <w:r>
        <w:rPr>
          <w:rFonts w:hint="eastAsia" w:ascii="仿宋_GB2312" w:eastAsia="仿宋_GB2312"/>
          <w:color w:val="auto"/>
          <w:sz w:val="30"/>
          <w:szCs w:val="30"/>
          <w:highlight w:val="none"/>
          <w:lang w:eastAsia="zh-CN"/>
        </w:rPr>
        <w:t>元</w:t>
      </w:r>
      <w:r>
        <w:rPr>
          <w:rFonts w:hint="eastAsia" w:ascii="仿宋_GB2312" w:eastAsia="仿宋_GB2312"/>
          <w:color w:val="auto"/>
          <w:sz w:val="30"/>
          <w:szCs w:val="30"/>
          <w:highlight w:val="none"/>
        </w:rPr>
        <w:t>，</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具体是国内接待费支出决算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元（其中：外事接待费支出决算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元），较上年增加</w:t>
      </w:r>
      <w:r>
        <w:rPr>
          <w:rFonts w:hint="eastAsia" w:ascii="仿宋_GB2312" w:hAnsi="宋体" w:eastAsia="仿宋_GB2312" w:cs="Arial"/>
          <w:color w:val="auto"/>
          <w:kern w:val="0"/>
          <w:sz w:val="30"/>
          <w:szCs w:val="30"/>
          <w:highlight w:val="none"/>
          <w:lang w:val="en-US" w:eastAsia="zh-CN"/>
        </w:rPr>
        <w:t>0.00元，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国（境）外接待费支出决算</w:t>
      </w:r>
      <w:r>
        <w:rPr>
          <w:rFonts w:hint="eastAsia" w:ascii="仿宋_GB2312" w:hAnsi="仿宋_GB2312" w:eastAsia="仿宋_GB2312" w:cs="仿宋_GB2312"/>
          <w:color w:val="auto"/>
          <w:sz w:val="30"/>
          <w:lang w:val="zh-CN"/>
        </w:rPr>
        <w:t>0.00</w:t>
      </w:r>
      <w:r>
        <w:rPr>
          <w:rFonts w:hint="eastAsia" w:ascii="仿宋_GB2312" w:hAnsi="宋体" w:eastAsia="仿宋_GB2312" w:cs="Arial"/>
          <w:color w:val="auto"/>
          <w:kern w:val="0"/>
          <w:sz w:val="30"/>
          <w:szCs w:val="30"/>
          <w:highlight w:val="none"/>
          <w:lang w:eastAsia="zh-CN"/>
        </w:rPr>
        <w:t>元较上年增加</w:t>
      </w:r>
      <w:r>
        <w:rPr>
          <w:rFonts w:hint="eastAsia" w:ascii="仿宋_GB2312" w:hAnsi="宋体" w:eastAsia="仿宋_GB2312" w:cs="Arial"/>
          <w:color w:val="auto"/>
          <w:kern w:val="0"/>
          <w:sz w:val="30"/>
          <w:szCs w:val="30"/>
          <w:highlight w:val="none"/>
          <w:lang w:val="en-US" w:eastAsia="zh-CN"/>
        </w:rPr>
        <w:t>0.00元，</w:t>
      </w:r>
      <w:r>
        <w:rPr>
          <w:rFonts w:hint="eastAsia" w:ascii="仿宋_GB2312" w:eastAsia="仿宋_GB2312"/>
          <w:color w:val="auto"/>
          <w:sz w:val="30"/>
          <w:szCs w:val="30"/>
          <w:lang w:eastAsia="zh-CN"/>
        </w:rPr>
        <w:t>上年无此项支出</w:t>
      </w:r>
      <w:r>
        <w:rPr>
          <w:rFonts w:hint="eastAsia" w:ascii="仿宋_GB2312" w:hAnsi="宋体" w:eastAsia="仿宋_GB2312" w:cs="Arial"/>
          <w:color w:val="auto"/>
          <w:kern w:val="0"/>
          <w:sz w:val="30"/>
          <w:szCs w:val="30"/>
          <w:highlight w:val="none"/>
          <w:lang w:eastAsia="zh-CN"/>
        </w:rPr>
        <w:t>。</w:t>
      </w:r>
      <w:r>
        <w:rPr>
          <w:rFonts w:hint="eastAsia" w:ascii="仿宋_GB2312" w:eastAsia="仿宋_GB2312"/>
          <w:color w:val="auto"/>
          <w:sz w:val="30"/>
          <w:szCs w:val="30"/>
          <w:highlight w:val="none"/>
          <w:lang w:val="en-US" w:eastAsia="zh-CN"/>
        </w:rPr>
        <w:t>2025年度</w:t>
      </w:r>
      <w:r>
        <w:rPr>
          <w:rFonts w:hint="eastAsia" w:ascii="仿宋_GB2312" w:eastAsia="仿宋_GB2312"/>
          <w:color w:val="auto"/>
          <w:sz w:val="30"/>
          <w:szCs w:val="30"/>
          <w:highlight w:val="none"/>
        </w:rPr>
        <w:t>一般公共预算财政拨款“三公”经费支出决算增加/减少的主要原因</w:t>
      </w:r>
      <w:r>
        <w:rPr>
          <w:rFonts w:hint="eastAsia" w:ascii="仿宋_GB2312" w:eastAsia="仿宋_GB2312"/>
          <w:color w:val="auto"/>
          <w:sz w:val="30"/>
          <w:szCs w:val="30"/>
          <w:highlight w:val="none"/>
          <w:lang w:eastAsia="zh-CN"/>
        </w:rPr>
        <w:t>是：</w:t>
      </w:r>
      <w:r>
        <w:rPr>
          <w:rFonts w:hint="eastAsia" w:ascii="仿宋_GB2312" w:hAnsi="Times New Roman" w:eastAsia="仿宋_GB2312" w:cs="Times New Roman"/>
          <w:sz w:val="30"/>
          <w:szCs w:val="30"/>
          <w:highlight w:val="none"/>
          <w:lang w:val="en-US" w:eastAsia="zh-CN"/>
        </w:rPr>
        <w:t>我单位践行厉行节约，减少不必要的公务出行，故公务用车运行维护费减少</w:t>
      </w:r>
      <w:r>
        <w:rPr>
          <w:rFonts w:hint="eastAsia" w:ascii="仿宋_GB2312" w:eastAsia="仿宋_GB2312"/>
          <w:color w:val="auto"/>
          <w:sz w:val="30"/>
          <w:szCs w:val="30"/>
          <w:highlight w:val="none"/>
        </w:rPr>
        <w:t>。</w:t>
      </w:r>
    </w:p>
    <w:p w14:paraId="6C808AAC">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sz w:val="30"/>
          <w:szCs w:val="30"/>
          <w:highlight w:val="none"/>
          <w:lang w:eastAsia="zh-CN"/>
        </w:rPr>
      </w:pPr>
      <w:r>
        <w:rPr>
          <w:rFonts w:hint="eastAsia" w:ascii="仿宋_GB2312" w:eastAsia="仿宋_GB2312"/>
          <w:sz w:val="30"/>
          <w:szCs w:val="30"/>
          <w:highlight w:val="none"/>
        </w:rPr>
        <w:t>一般公共预算财政拨款“三公”经费支出</w:t>
      </w:r>
      <w:r>
        <w:rPr>
          <w:rFonts w:hint="eastAsia" w:ascii="仿宋_GB2312" w:eastAsia="仿宋_GB2312"/>
          <w:sz w:val="30"/>
          <w:szCs w:val="30"/>
          <w:highlight w:val="none"/>
          <w:lang w:eastAsia="zh-CN"/>
        </w:rPr>
        <w:t>实物量的</w:t>
      </w:r>
      <w:r>
        <w:rPr>
          <w:rFonts w:hint="eastAsia" w:ascii="仿宋_GB2312" w:eastAsia="仿宋_GB2312"/>
          <w:sz w:val="30"/>
          <w:szCs w:val="30"/>
          <w:highlight w:val="none"/>
        </w:rPr>
        <w:t>具体情况</w:t>
      </w:r>
      <w:r>
        <w:rPr>
          <w:rFonts w:hint="eastAsia" w:ascii="仿宋_GB2312" w:eastAsia="仿宋_GB2312"/>
          <w:sz w:val="30"/>
          <w:szCs w:val="30"/>
          <w:highlight w:val="none"/>
          <w:lang w:eastAsia="zh-CN"/>
        </w:rPr>
        <w:t>：</w:t>
      </w:r>
    </w:p>
    <w:p w14:paraId="46D0AC66">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b w:val="0"/>
          <w:bCs/>
          <w:sz w:val="30"/>
          <w:szCs w:val="30"/>
          <w:highlight w:val="none"/>
        </w:rPr>
      </w:pPr>
      <w:r>
        <w:rPr>
          <w:rFonts w:hint="eastAsia" w:ascii="仿宋_GB2312" w:eastAsia="仿宋_GB2312"/>
          <w:b w:val="0"/>
          <w:bCs/>
          <w:sz w:val="30"/>
          <w:szCs w:val="30"/>
          <w:highlight w:val="none"/>
        </w:rPr>
        <w:t>1.安排因公出国（境）团组</w:t>
      </w:r>
      <w:r>
        <w:rPr>
          <w:rFonts w:hint="eastAsia" w:ascii="仿宋_GB2312" w:hAnsi="仿宋_GB2312" w:eastAsia="仿宋_GB2312" w:cs="仿宋_GB2312"/>
          <w:color w:val="000000"/>
          <w:sz w:val="30"/>
          <w:lang w:val="zh-CN"/>
        </w:rPr>
        <w:t>0</w:t>
      </w:r>
      <w:r>
        <w:rPr>
          <w:rFonts w:hint="eastAsia" w:ascii="仿宋_GB2312" w:eastAsia="仿宋_GB2312"/>
          <w:b w:val="0"/>
          <w:bCs/>
          <w:sz w:val="30"/>
          <w:szCs w:val="30"/>
          <w:highlight w:val="none"/>
        </w:rPr>
        <w:t>个，累计</w:t>
      </w:r>
      <w:r>
        <w:rPr>
          <w:rFonts w:hint="eastAsia" w:ascii="仿宋_GB2312" w:hAnsi="仿宋_GB2312" w:eastAsia="仿宋_GB2312" w:cs="仿宋_GB2312"/>
          <w:color w:val="000000"/>
          <w:sz w:val="30"/>
          <w:lang w:val="zh-CN"/>
        </w:rPr>
        <w:t>0</w:t>
      </w:r>
      <w:r>
        <w:rPr>
          <w:rFonts w:hint="eastAsia" w:ascii="仿宋_GB2312" w:eastAsia="仿宋_GB2312"/>
          <w:b w:val="0"/>
          <w:bCs/>
          <w:sz w:val="30"/>
          <w:szCs w:val="30"/>
          <w:highlight w:val="none"/>
        </w:rPr>
        <w:t>人次。开展内容包括：</w:t>
      </w:r>
      <w:r>
        <w:rPr>
          <w:rFonts w:hint="eastAsia" w:ascii="仿宋_GB2312" w:eastAsia="仿宋_GB2312"/>
          <w:b w:val="0"/>
          <w:bCs/>
          <w:sz w:val="30"/>
          <w:szCs w:val="30"/>
          <w:highlight w:val="none"/>
          <w:lang w:eastAsia="zh-CN"/>
        </w:rPr>
        <w:t>无</w:t>
      </w:r>
      <w:r>
        <w:rPr>
          <w:rFonts w:hint="eastAsia" w:ascii="仿宋_GB2312" w:eastAsia="仿宋_GB2312"/>
          <w:b w:val="0"/>
          <w:bCs/>
          <w:sz w:val="30"/>
          <w:szCs w:val="30"/>
          <w:highlight w:val="none"/>
        </w:rPr>
        <w:t>。</w:t>
      </w:r>
    </w:p>
    <w:p w14:paraId="421C64E7">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b w:val="0"/>
          <w:bCs/>
          <w:sz w:val="30"/>
          <w:szCs w:val="30"/>
          <w:highlight w:val="none"/>
        </w:rPr>
      </w:pPr>
      <w:r>
        <w:rPr>
          <w:rFonts w:hint="eastAsia" w:ascii="仿宋_GB2312" w:eastAsia="仿宋_GB2312"/>
          <w:b w:val="0"/>
          <w:bCs/>
          <w:sz w:val="30"/>
          <w:szCs w:val="30"/>
          <w:highlight w:val="none"/>
        </w:rPr>
        <w:t>2.购置车辆</w:t>
      </w:r>
      <w:r>
        <w:rPr>
          <w:rFonts w:hint="eastAsia" w:ascii="仿宋_GB2312" w:hAnsi="仿宋_GB2312" w:eastAsia="仿宋_GB2312" w:cs="仿宋_GB2312"/>
          <w:color w:val="000000"/>
          <w:sz w:val="30"/>
          <w:lang w:val="zh-CN"/>
        </w:rPr>
        <w:t>0</w:t>
      </w:r>
      <w:r>
        <w:rPr>
          <w:rFonts w:hint="eastAsia" w:ascii="仿宋_GB2312" w:eastAsia="仿宋_GB2312"/>
          <w:b w:val="0"/>
          <w:bCs/>
          <w:sz w:val="30"/>
          <w:szCs w:val="30"/>
          <w:highlight w:val="none"/>
        </w:rPr>
        <w:t>辆。开支一般公共预算财政拨款的公务用车保有量为</w:t>
      </w:r>
      <w:r>
        <w:rPr>
          <w:rFonts w:hint="eastAsia" w:ascii="仿宋_GB2312" w:hAnsi="仿宋_GB2312" w:eastAsia="仿宋_GB2312" w:cs="仿宋_GB2312"/>
          <w:color w:val="000000"/>
          <w:sz w:val="30"/>
          <w:lang w:val="zh-CN"/>
        </w:rPr>
        <w:t>3</w:t>
      </w:r>
      <w:r>
        <w:rPr>
          <w:rFonts w:hint="eastAsia" w:ascii="仿宋_GB2312" w:eastAsia="仿宋_GB2312"/>
          <w:b w:val="0"/>
          <w:bCs/>
          <w:sz w:val="30"/>
          <w:szCs w:val="30"/>
          <w:highlight w:val="none"/>
        </w:rPr>
        <w:t>辆。主要用于</w:t>
      </w:r>
      <w:r>
        <w:rPr>
          <w:rFonts w:hint="eastAsia" w:ascii="仿宋_GB2312" w:eastAsia="仿宋_GB2312"/>
          <w:b w:val="0"/>
          <w:bCs/>
          <w:sz w:val="30"/>
          <w:szCs w:val="30"/>
          <w:highlight w:val="none"/>
          <w:lang w:val="en-US"/>
        </w:rPr>
        <w:t>教师、行政后勤教职工外出办理公务、培训</w:t>
      </w:r>
      <w:r>
        <w:rPr>
          <w:rFonts w:hint="eastAsia" w:ascii="仿宋_GB2312" w:eastAsia="仿宋_GB2312"/>
          <w:b w:val="0"/>
          <w:bCs/>
          <w:sz w:val="30"/>
          <w:szCs w:val="30"/>
          <w:highlight w:val="none"/>
        </w:rPr>
        <w:t>所需车辆燃料费、维修费、过路过桥费、保险费等。</w:t>
      </w:r>
    </w:p>
    <w:p w14:paraId="738F887B">
      <w:pPr>
        <w:keepNext w:val="0"/>
        <w:keepLines w:val="0"/>
        <w:pageBreakBefore w:val="0"/>
        <w:widowControl/>
        <w:kinsoku/>
        <w:wordWrap/>
        <w:overflowPunct/>
        <w:topLinePunct w:val="0"/>
        <w:autoSpaceDE/>
        <w:autoSpaceDN/>
        <w:bidi w:val="0"/>
        <w:adjustRightInd/>
        <w:snapToGrid w:val="0"/>
        <w:spacing w:before="100" w:after="100" w:line="360" w:lineRule="auto"/>
        <w:ind w:firstLine="600" w:firstLineChars="200"/>
        <w:jc w:val="both"/>
        <w:textAlignment w:val="auto"/>
        <w:rPr>
          <w:rFonts w:hint="eastAsia" w:ascii="仿宋_GB2312" w:eastAsia="仿宋_GB2312"/>
          <w:b w:val="0"/>
          <w:bCs/>
          <w:color w:val="FF0000"/>
          <w:sz w:val="30"/>
          <w:szCs w:val="30"/>
          <w:highlight w:val="none"/>
          <w:lang w:eastAsia="zh-CN"/>
        </w:rPr>
      </w:pPr>
      <w:r>
        <w:rPr>
          <w:rFonts w:hint="eastAsia" w:ascii="仿宋_GB2312" w:eastAsia="仿宋_GB2312"/>
          <w:b w:val="0"/>
          <w:bCs/>
          <w:sz w:val="30"/>
          <w:szCs w:val="30"/>
          <w:highlight w:val="none"/>
        </w:rPr>
        <w:t>3.安排</w:t>
      </w:r>
      <w:r>
        <w:rPr>
          <w:rFonts w:hint="eastAsia" w:ascii="仿宋_GB2312" w:eastAsia="仿宋_GB2312"/>
          <w:sz w:val="30"/>
          <w:szCs w:val="30"/>
          <w:highlight w:val="none"/>
        </w:rPr>
        <w:t>国内公务接待</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批次（其中：外事接待</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批次），接待人次</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人（其中：外事接待人次</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人）。</w:t>
      </w:r>
      <w:r>
        <w:rPr>
          <w:rFonts w:hint="eastAsia" w:ascii="仿宋_GB2312" w:hAnsi="Times New Roman" w:eastAsia="仿宋_GB2312" w:cs="Times New Roman"/>
          <w:sz w:val="30"/>
          <w:szCs w:val="30"/>
          <w:highlight w:val="none"/>
          <w:lang w:val="en-US" w:eastAsia="zh-CN"/>
        </w:rPr>
        <w:t>无</w:t>
      </w:r>
      <w:r>
        <w:rPr>
          <w:rFonts w:hint="eastAsia" w:ascii="仿宋_GB2312" w:hAnsi="Times New Roman" w:eastAsia="仿宋_GB2312" w:cs="Times New Roman"/>
          <w:sz w:val="30"/>
          <w:szCs w:val="30"/>
          <w:highlight w:val="none"/>
        </w:rPr>
        <w:t>接待支出</w:t>
      </w:r>
      <w:r>
        <w:rPr>
          <w:rFonts w:hint="eastAsia" w:ascii="仿宋_GB2312" w:eastAsia="仿宋_GB2312"/>
          <w:sz w:val="30"/>
          <w:szCs w:val="30"/>
          <w:highlight w:val="none"/>
        </w:rPr>
        <w:t>。安排国（境）外公务接待</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批次，接待人次</w:t>
      </w:r>
      <w:r>
        <w:rPr>
          <w:rFonts w:hint="eastAsia" w:ascii="仿宋_GB2312" w:hAnsi="仿宋_GB2312" w:eastAsia="仿宋_GB2312" w:cs="仿宋_GB2312"/>
          <w:color w:val="000000"/>
          <w:sz w:val="30"/>
          <w:lang w:val="zh-CN"/>
        </w:rPr>
        <w:t>0</w:t>
      </w:r>
      <w:r>
        <w:rPr>
          <w:rFonts w:hint="eastAsia" w:ascii="仿宋_GB2312" w:eastAsia="仿宋_GB2312"/>
          <w:sz w:val="30"/>
          <w:szCs w:val="30"/>
          <w:highlight w:val="none"/>
        </w:rPr>
        <w:t>人。</w:t>
      </w:r>
      <w:r>
        <w:rPr>
          <w:rFonts w:hint="eastAsia" w:ascii="仿宋_GB2312" w:hAnsi="Times New Roman" w:eastAsia="仿宋_GB2312" w:cs="Times New Roman"/>
          <w:sz w:val="30"/>
          <w:szCs w:val="30"/>
          <w:highlight w:val="none"/>
          <w:lang w:val="en-US" w:eastAsia="zh-CN"/>
        </w:rPr>
        <w:t>无</w:t>
      </w:r>
      <w:r>
        <w:rPr>
          <w:rFonts w:hint="eastAsia" w:ascii="仿宋_GB2312" w:hAnsi="Times New Roman" w:eastAsia="仿宋_GB2312" w:cs="Times New Roman"/>
          <w:sz w:val="30"/>
          <w:szCs w:val="30"/>
          <w:highlight w:val="none"/>
        </w:rPr>
        <w:t>接待支出</w:t>
      </w:r>
      <w:r>
        <w:rPr>
          <w:rFonts w:hint="eastAsia" w:ascii="仿宋_GB2312" w:eastAsia="仿宋_GB2312"/>
          <w:sz w:val="30"/>
          <w:szCs w:val="30"/>
          <w:highlight w:val="none"/>
        </w:rPr>
        <w:t>。</w:t>
      </w:r>
    </w:p>
    <w:p w14:paraId="6E6934D2">
      <w:pPr>
        <w:widowControl/>
        <w:snapToGrid w:val="0"/>
        <w:spacing w:before="100" w:after="100" w:line="360" w:lineRule="auto"/>
        <w:ind w:firstLine="600" w:firstLineChars="200"/>
        <w:jc w:val="left"/>
        <w:outlineLvl w:val="2"/>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（三）需要说明的事项</w:t>
      </w:r>
    </w:p>
    <w:p w14:paraId="48404900">
      <w:pPr>
        <w:keepNext w:val="0"/>
        <w:keepLines w:val="0"/>
        <w:pageBreakBefore w:val="0"/>
        <w:widowControl/>
        <w:numPr>
          <w:ilvl w:val="0"/>
          <w:numId w:val="0"/>
        </w:numPr>
        <w:kinsoku/>
        <w:wordWrap/>
        <w:overflowPunct/>
        <w:topLinePunct w:val="0"/>
        <w:autoSpaceDE/>
        <w:autoSpaceDN/>
        <w:bidi w:val="0"/>
        <w:adjustRightInd/>
        <w:snapToGrid w:val="0"/>
        <w:spacing w:before="100" w:after="100" w:line="360" w:lineRule="auto"/>
        <w:ind w:firstLine="600" w:firstLineChars="200"/>
        <w:jc w:val="left"/>
        <w:textAlignment w:val="auto"/>
        <w:rPr>
          <w:rFonts w:hint="eastAsia" w:ascii="仿宋_GB2312" w:eastAsia="仿宋_GB2312"/>
          <w:sz w:val="30"/>
          <w:szCs w:val="30"/>
          <w:highlight w:val="none"/>
          <w:lang w:eastAsia="zh-CN"/>
        </w:rPr>
      </w:pPr>
      <w:r>
        <w:rPr>
          <w:rFonts w:hint="eastAsia" w:ascii="仿宋_GB2312" w:eastAsia="仿宋_GB2312"/>
          <w:sz w:val="30"/>
          <w:szCs w:val="30"/>
          <w:highlight w:val="none"/>
          <w:lang w:eastAsia="zh-CN"/>
        </w:rPr>
        <w:t>不存在需要说明的事项。</w:t>
      </w:r>
    </w:p>
    <w:p w14:paraId="0FA0DF9B">
      <w:pPr>
        <w:widowControl/>
        <w:snapToGrid w:val="0"/>
        <w:spacing w:before="100" w:after="100" w:line="360" w:lineRule="auto"/>
        <w:ind w:firstLine="600" w:firstLineChars="200"/>
        <w:jc w:val="left"/>
        <w:rPr>
          <w:rFonts w:hint="eastAsia" w:ascii="仿宋_GB2312" w:eastAsia="仿宋_GB2312"/>
          <w:sz w:val="30"/>
          <w:szCs w:val="30"/>
          <w:highlight w:val="none"/>
          <w:lang w:eastAsia="zh-CN"/>
        </w:rPr>
      </w:pPr>
    </w:p>
    <w:p w14:paraId="1DE16466">
      <w:pPr>
        <w:widowControl/>
        <w:snapToGrid w:val="0"/>
        <w:spacing w:before="100" w:after="100" w:line="360" w:lineRule="auto"/>
        <w:jc w:val="center"/>
        <w:outlineLvl w:val="0"/>
        <w:rPr>
          <w:rFonts w:hint="eastAsia" w:ascii="仿宋_GB2312" w:eastAsia="仿宋_GB2312"/>
          <w:sz w:val="32"/>
          <w:szCs w:val="32"/>
          <w:highlight w:val="none"/>
        </w:rPr>
      </w:pPr>
      <w:r>
        <w:rPr>
          <w:rFonts w:hint="eastAsia" w:ascii="黑体" w:hAnsi="黑体" w:eastAsia="黑体" w:cs="方正小标宋简体"/>
          <w:sz w:val="32"/>
          <w:szCs w:val="32"/>
          <w:highlight w:val="none"/>
        </w:rPr>
        <w:t xml:space="preserve">第四部分  </w:t>
      </w:r>
      <w:r>
        <w:rPr>
          <w:rFonts w:hint="eastAsia" w:ascii="黑体" w:hAnsi="黑体" w:eastAsia="黑体"/>
          <w:sz w:val="32"/>
          <w:szCs w:val="32"/>
          <w:highlight w:val="none"/>
        </w:rPr>
        <w:t>其他重要事项及相关口径情况说明</w:t>
      </w:r>
    </w:p>
    <w:p w14:paraId="4CB4645E">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rPr>
        <w:t>一</w:t>
      </w:r>
      <w:r>
        <w:rPr>
          <w:rFonts w:hint="eastAsia" w:ascii="黑体" w:hAnsi="黑体" w:eastAsia="黑体" w:cs="黑体"/>
          <w:sz w:val="30"/>
          <w:szCs w:val="30"/>
          <w:highlight w:val="none"/>
          <w:lang w:eastAsia="zh-CN"/>
        </w:rPr>
        <w:t>、</w:t>
      </w:r>
      <w:r>
        <w:rPr>
          <w:rFonts w:hint="eastAsia" w:ascii="黑体" w:hAnsi="黑体" w:eastAsia="黑体" w:cs="黑体"/>
          <w:sz w:val="30"/>
          <w:szCs w:val="30"/>
          <w:highlight w:val="none"/>
        </w:rPr>
        <w:t>机关运行经费支出情况</w:t>
      </w:r>
    </w:p>
    <w:p w14:paraId="33698F0A">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rPr>
      </w:pPr>
      <w:r>
        <w:rPr>
          <w:rFonts w:hint="eastAsia" w:ascii="仿宋_GB2312" w:hAnsi="仿宋_GB2312" w:eastAsia="仿宋_GB2312" w:cs="仿宋_GB2312"/>
          <w:color w:val="auto"/>
          <w:sz w:val="30"/>
          <w:lang w:val="zh-CN"/>
        </w:rPr>
        <w:t>云南师范大学附属世纪金源学校</w:t>
      </w:r>
      <w:r>
        <w:rPr>
          <w:rFonts w:hint="eastAsia" w:ascii="仿宋_GB2312" w:hAnsi="黑体" w:eastAsia="仿宋_GB2312" w:cs="方正小标宋简体"/>
          <w:sz w:val="30"/>
          <w:szCs w:val="30"/>
          <w:highlight w:val="none"/>
          <w:lang w:val="en-US" w:eastAsia="zh-CN"/>
        </w:rPr>
        <w:t>2025</w:t>
      </w:r>
      <w:r>
        <w:rPr>
          <w:rFonts w:hint="eastAsia" w:ascii="仿宋_GB2312" w:hAnsi="黑体" w:eastAsia="仿宋_GB2312" w:cs="方正小标宋简体"/>
          <w:sz w:val="30"/>
          <w:szCs w:val="30"/>
          <w:highlight w:val="none"/>
        </w:rPr>
        <w:t>年机关运行经费支出</w:t>
      </w:r>
      <w:r>
        <w:rPr>
          <w:rFonts w:hint="eastAsia" w:ascii="仿宋_GB2312" w:hAnsi="仿宋_GB2312" w:eastAsia="仿宋_GB2312" w:cs="仿宋_GB2312"/>
          <w:color w:val="auto"/>
          <w:sz w:val="30"/>
          <w:lang w:val="en-US" w:eastAsia="zh-CN"/>
        </w:rPr>
        <w:t>0.00</w:t>
      </w:r>
      <w:r>
        <w:rPr>
          <w:rFonts w:hint="eastAsia" w:ascii="仿宋_GB2312" w:hAnsi="黑体" w:eastAsia="仿宋_GB2312" w:cs="方正小标宋简体"/>
          <w:sz w:val="30"/>
          <w:szCs w:val="30"/>
          <w:highlight w:val="none"/>
          <w:lang w:eastAsia="zh-CN"/>
        </w:rPr>
        <w:t>元</w:t>
      </w:r>
      <w:r>
        <w:rPr>
          <w:rFonts w:hint="eastAsia" w:ascii="仿宋_GB2312" w:hAnsi="黑体" w:eastAsia="仿宋_GB2312" w:cs="方正小标宋简体"/>
          <w:sz w:val="30"/>
          <w:szCs w:val="30"/>
          <w:highlight w:val="none"/>
        </w:rPr>
        <w:t>，</w:t>
      </w:r>
      <w:r>
        <w:rPr>
          <w:rFonts w:hint="eastAsia" w:ascii="仿宋_GB2312" w:hAnsi="黑体" w:eastAsia="仿宋_GB2312" w:cs="方正小标宋简体"/>
          <w:sz w:val="30"/>
          <w:szCs w:val="30"/>
          <w:highlight w:val="none"/>
          <w:lang w:eastAsia="zh-CN"/>
        </w:rPr>
        <w:t>比上年</w:t>
      </w:r>
      <w:r>
        <w:rPr>
          <w:rFonts w:hint="eastAsia" w:ascii="仿宋_GB2312" w:eastAsia="仿宋_GB2312"/>
          <w:sz w:val="30"/>
          <w:szCs w:val="30"/>
          <w:highlight w:val="none"/>
        </w:rPr>
        <w:t>增加</w:t>
      </w:r>
      <w:r>
        <w:rPr>
          <w:rFonts w:hint="eastAsia" w:ascii="仿宋_GB2312" w:hAnsi="仿宋_GB2312" w:eastAsia="仿宋_GB2312" w:cs="仿宋_GB2312"/>
          <w:color w:val="auto"/>
          <w:sz w:val="30"/>
          <w:lang w:val="en-US" w:eastAsia="zh-CN"/>
        </w:rPr>
        <w:t>0.00</w:t>
      </w:r>
      <w:r>
        <w:rPr>
          <w:rFonts w:hint="eastAsia" w:ascii="仿宋_GB2312" w:eastAsia="仿宋_GB2312"/>
          <w:sz w:val="30"/>
          <w:szCs w:val="30"/>
          <w:highlight w:val="none"/>
          <w:lang w:eastAsia="zh-CN"/>
        </w:rPr>
        <w:t>元</w:t>
      </w:r>
      <w:r>
        <w:rPr>
          <w:rFonts w:hint="eastAsia" w:ascii="仿宋_GB2312" w:eastAsia="仿宋_GB2312"/>
          <w:sz w:val="30"/>
          <w:szCs w:val="30"/>
          <w:highlight w:val="none"/>
        </w:rPr>
        <w:t>，增长</w:t>
      </w:r>
      <w:r>
        <w:rPr>
          <w:rFonts w:hint="eastAsia" w:ascii="仿宋_GB2312" w:hAnsi="仿宋_GB2312" w:eastAsia="仿宋_GB2312" w:cs="仿宋_GB2312"/>
          <w:color w:val="000000"/>
          <w:sz w:val="30"/>
          <w:lang w:val="zh-CN"/>
        </w:rPr>
        <w:t>0.00</w:t>
      </w:r>
      <w:r>
        <w:rPr>
          <w:rFonts w:hint="eastAsia" w:ascii="仿宋_GB2312" w:eastAsia="仿宋_GB2312"/>
          <w:sz w:val="30"/>
          <w:szCs w:val="30"/>
          <w:highlight w:val="none"/>
        </w:rPr>
        <w:t>%</w:t>
      </w:r>
      <w:r>
        <w:rPr>
          <w:rFonts w:hint="eastAsia" w:ascii="仿宋_GB2312" w:hAnsi="黑体" w:eastAsia="仿宋_GB2312" w:cs="方正小标宋简体"/>
          <w:sz w:val="30"/>
          <w:szCs w:val="30"/>
          <w:highlight w:val="none"/>
        </w:rPr>
        <w:t>,主要原因</w:t>
      </w:r>
      <w:r>
        <w:rPr>
          <w:rFonts w:hint="eastAsia" w:ascii="仿宋_GB2312" w:hAnsi="黑体" w:eastAsia="仿宋_GB2312" w:cs="方正小标宋简体"/>
          <w:sz w:val="30"/>
          <w:szCs w:val="30"/>
          <w:highlight w:val="none"/>
          <w:lang w:eastAsia="zh-CN"/>
        </w:rPr>
        <w:t>是</w:t>
      </w:r>
      <w:r>
        <w:rPr>
          <w:rFonts w:hint="eastAsia" w:ascii="仿宋_GB2312" w:hAnsi="Times New Roman" w:eastAsia="仿宋_GB2312" w:cs="Times New Roman"/>
          <w:sz w:val="30"/>
          <w:szCs w:val="30"/>
          <w:highlight w:val="none"/>
          <w:lang w:val="zh-CN" w:eastAsia="zh-CN"/>
        </w:rPr>
        <w:t>：</w:t>
      </w:r>
      <w:r>
        <w:rPr>
          <w:rFonts w:hint="eastAsia" w:ascii="仿宋_GB2312" w:hAnsi="Times New Roman" w:eastAsia="仿宋_GB2312" w:cs="Times New Roman"/>
          <w:sz w:val="30"/>
          <w:szCs w:val="30"/>
          <w:highlight w:val="none"/>
          <w:lang w:val="en-US" w:eastAsia="zh-CN"/>
        </w:rPr>
        <w:t>本单位为事业单位，无机关运行经费</w:t>
      </w:r>
      <w:r>
        <w:rPr>
          <w:rFonts w:hint="eastAsia" w:ascii="仿宋_GB2312" w:hAnsi="黑体" w:eastAsia="仿宋_GB2312" w:cs="方正小标宋简体"/>
          <w:sz w:val="30"/>
          <w:szCs w:val="30"/>
          <w:highlight w:val="none"/>
        </w:rPr>
        <w:t>。</w:t>
      </w:r>
    </w:p>
    <w:p w14:paraId="2983F42E">
      <w:pPr>
        <w:widowControl/>
        <w:ind w:firstLine="600" w:firstLineChars="200"/>
        <w:outlineLvl w:val="1"/>
        <w:rPr>
          <w:rFonts w:hint="eastAsia" w:ascii="黑体" w:hAnsi="黑体" w:eastAsia="黑体" w:cs="黑体"/>
          <w:color w:val="000000"/>
          <w:kern w:val="0"/>
          <w:sz w:val="30"/>
          <w:szCs w:val="30"/>
          <w:highlight w:val="none"/>
        </w:rPr>
      </w:pPr>
      <w:r>
        <w:rPr>
          <w:rFonts w:hint="eastAsia" w:ascii="黑体" w:hAnsi="黑体" w:eastAsia="黑体" w:cs="黑体"/>
          <w:color w:val="000000"/>
          <w:kern w:val="0"/>
          <w:sz w:val="30"/>
          <w:szCs w:val="30"/>
          <w:highlight w:val="none"/>
          <w:lang w:eastAsia="zh-CN"/>
        </w:rPr>
        <w:t>二、</w:t>
      </w:r>
      <w:r>
        <w:rPr>
          <w:rFonts w:hint="eastAsia" w:ascii="黑体" w:hAnsi="黑体" w:eastAsia="黑体" w:cs="黑体"/>
          <w:color w:val="000000"/>
          <w:kern w:val="0"/>
          <w:sz w:val="30"/>
          <w:szCs w:val="30"/>
          <w:highlight w:val="none"/>
        </w:rPr>
        <w:t>国有资产占用情况</w:t>
      </w:r>
    </w:p>
    <w:p w14:paraId="207B52C5">
      <w:pPr>
        <w:widowControl/>
        <w:ind w:firstLine="600" w:firstLineChars="200"/>
        <w:rPr>
          <w:rFonts w:hint="eastAsia" w:ascii="仿宋_GB2312" w:hAnsi="黑体" w:eastAsia="仿宋_GB2312" w:cs="方正小标宋简体"/>
          <w:color w:val="000000"/>
          <w:kern w:val="0"/>
          <w:sz w:val="30"/>
          <w:szCs w:val="30"/>
          <w:highlight w:val="none"/>
        </w:rPr>
      </w:pPr>
      <w:r>
        <w:rPr>
          <w:rFonts w:hint="eastAsia" w:ascii="仿宋_GB2312" w:hAnsi="仿宋_GB2312" w:eastAsia="仿宋_GB2312" w:cs="仿宋_GB2312"/>
          <w:sz w:val="30"/>
          <w:szCs w:val="30"/>
          <w:highlight w:val="none"/>
          <w:lang w:eastAsia="zh-CN"/>
        </w:rPr>
        <w:t>截至202</w:t>
      </w: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lang w:eastAsia="zh-CN"/>
        </w:rPr>
        <w:t>年末，</w:t>
      </w:r>
      <w:r>
        <w:rPr>
          <w:rFonts w:hint="eastAsia" w:ascii="仿宋_GB2312" w:hAnsi="仿宋_GB2312" w:eastAsia="仿宋_GB2312" w:cs="仿宋_GB2312"/>
          <w:color w:val="auto"/>
          <w:sz w:val="30"/>
          <w:lang w:val="zh-CN"/>
        </w:rPr>
        <w:t>云南师范大学附属世纪金源学校</w:t>
      </w:r>
      <w:r>
        <w:rPr>
          <w:rFonts w:hint="eastAsia" w:ascii="仿宋_GB2312" w:hAnsi="仿宋_GB2312" w:eastAsia="仿宋_GB2312" w:cs="仿宋_GB2312"/>
          <w:sz w:val="30"/>
          <w:szCs w:val="30"/>
          <w:highlight w:val="none"/>
          <w:lang w:eastAsia="zh-CN"/>
        </w:rPr>
        <w:t>资产总额</w:t>
      </w:r>
      <w:r>
        <w:rPr>
          <w:rFonts w:hint="eastAsia" w:ascii="仿宋_GB2312" w:hAnsi="仿宋_GB2312" w:eastAsia="仿宋_GB2312" w:cs="仿宋_GB2312"/>
          <w:sz w:val="30"/>
          <w:szCs w:val="30"/>
          <w:highlight w:val="none"/>
          <w:lang w:val="en-US" w:eastAsia="zh-CN"/>
        </w:rPr>
        <w:t>25283874.10</w:t>
      </w:r>
      <w:r>
        <w:rPr>
          <w:rFonts w:hint="eastAsia" w:ascii="仿宋_GB2312" w:hAnsi="仿宋_GB2312" w:eastAsia="仿宋_GB2312" w:cs="仿宋_GB2312"/>
          <w:sz w:val="30"/>
          <w:szCs w:val="30"/>
          <w:highlight w:val="none"/>
          <w:lang w:eastAsia="zh-CN"/>
        </w:rPr>
        <w:t>元，其中，流动资产</w:t>
      </w:r>
      <w:r>
        <w:rPr>
          <w:rFonts w:hint="eastAsia" w:ascii="仿宋_GB2312" w:hAnsi="仿宋_GB2312" w:eastAsia="仿宋_GB2312" w:cs="仿宋_GB2312"/>
          <w:sz w:val="30"/>
          <w:szCs w:val="30"/>
          <w:highlight w:val="none"/>
          <w:lang w:val="en-US" w:eastAsia="zh-CN"/>
        </w:rPr>
        <w:t>13577842.82</w:t>
      </w:r>
      <w:r>
        <w:rPr>
          <w:rFonts w:hint="eastAsia" w:ascii="仿宋_GB2312" w:hAnsi="仿宋_GB2312" w:eastAsia="仿宋_GB2312" w:cs="仿宋_GB2312"/>
          <w:sz w:val="30"/>
          <w:szCs w:val="30"/>
          <w:highlight w:val="none"/>
          <w:lang w:eastAsia="zh-CN"/>
        </w:rPr>
        <w:t>元，固定资产</w:t>
      </w:r>
      <w:r>
        <w:rPr>
          <w:rFonts w:hint="eastAsia" w:ascii="仿宋_GB2312" w:hAnsi="仿宋_GB2312" w:eastAsia="仿宋_GB2312" w:cs="仿宋_GB2312"/>
          <w:sz w:val="30"/>
          <w:szCs w:val="30"/>
          <w:highlight w:val="none"/>
          <w:lang w:val="en-US" w:eastAsia="zh-CN"/>
        </w:rPr>
        <w:t>11665128.16</w:t>
      </w:r>
      <w:r>
        <w:rPr>
          <w:rFonts w:hint="eastAsia" w:ascii="仿宋_GB2312" w:hAnsi="仿宋_GB2312" w:eastAsia="仿宋_GB2312" w:cs="仿宋_GB2312"/>
          <w:sz w:val="30"/>
          <w:szCs w:val="30"/>
          <w:highlight w:val="none"/>
          <w:lang w:eastAsia="zh-CN"/>
        </w:rPr>
        <w:t>元（净值），对外投资及有价证券</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元，在建工程</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元，无形资产</w:t>
      </w:r>
      <w:r>
        <w:rPr>
          <w:rFonts w:hint="eastAsia" w:ascii="仿宋_GB2312" w:hAnsi="仿宋_GB2312" w:eastAsia="仿宋_GB2312" w:cs="仿宋_GB2312"/>
          <w:sz w:val="30"/>
          <w:szCs w:val="30"/>
          <w:highlight w:val="none"/>
          <w:lang w:val="en-US" w:eastAsia="zh-CN"/>
        </w:rPr>
        <w:t>40903.12</w:t>
      </w:r>
      <w:r>
        <w:rPr>
          <w:rFonts w:hint="eastAsia" w:ascii="仿宋_GB2312" w:hAnsi="仿宋_GB2312" w:eastAsia="仿宋_GB2312" w:cs="仿宋_GB2312"/>
          <w:sz w:val="30"/>
          <w:szCs w:val="30"/>
          <w:highlight w:val="none"/>
          <w:lang w:eastAsia="zh-CN"/>
        </w:rPr>
        <w:t>元（净值），其他资产</w:t>
      </w:r>
      <w:r>
        <w:rPr>
          <w:rFonts w:hint="eastAsia" w:ascii="仿宋_GB2312" w:hAnsi="仿宋_GB2312" w:eastAsia="仿宋_GB2312" w:cs="仿宋_GB2312"/>
          <w:sz w:val="30"/>
          <w:szCs w:val="30"/>
          <w:highlight w:val="none"/>
          <w:lang w:val="en-US" w:eastAsia="zh-CN"/>
        </w:rPr>
        <w:t>0.00</w:t>
      </w:r>
      <w:r>
        <w:rPr>
          <w:rFonts w:hint="eastAsia" w:ascii="仿宋_GB2312" w:hAnsi="仿宋_GB2312" w:eastAsia="仿宋_GB2312" w:cs="仿宋_GB2312"/>
          <w:sz w:val="30"/>
          <w:szCs w:val="30"/>
          <w:highlight w:val="none"/>
          <w:lang w:eastAsia="zh-CN"/>
        </w:rPr>
        <w:t>元（净值）（具体内容详见附表）</w:t>
      </w:r>
      <w:r>
        <w:rPr>
          <w:rFonts w:hint="eastAsia" w:ascii="仿宋_GB2312" w:hAnsi="黑体" w:eastAsia="仿宋_GB2312" w:cs="方正小标宋简体"/>
          <w:color w:val="000000"/>
          <w:kern w:val="0"/>
          <w:sz w:val="30"/>
          <w:szCs w:val="30"/>
          <w:highlight w:val="none"/>
        </w:rPr>
        <w:t>。与上年相比，本年资产总额增加（减少）</w:t>
      </w:r>
      <w:r>
        <w:rPr>
          <w:rFonts w:hint="eastAsia" w:ascii="仿宋_GB2312" w:hAnsi="黑体" w:eastAsia="仿宋_GB2312" w:cs="方正小标宋简体"/>
          <w:color w:val="000000"/>
          <w:kern w:val="0"/>
          <w:sz w:val="30"/>
          <w:szCs w:val="30"/>
          <w:highlight w:val="none"/>
          <w:lang w:val="en-US" w:eastAsia="zh-CN"/>
        </w:rPr>
        <w:t>2294733.57</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，其中固定资产增加</w:t>
      </w:r>
      <w:r>
        <w:rPr>
          <w:rFonts w:hint="eastAsia" w:ascii="仿宋_GB2312" w:hAnsi="黑体" w:eastAsia="仿宋_GB2312" w:cs="方正小标宋简体"/>
          <w:color w:val="000000"/>
          <w:kern w:val="0"/>
          <w:sz w:val="30"/>
          <w:szCs w:val="30"/>
          <w:highlight w:val="none"/>
          <w:lang w:val="en-US" w:eastAsia="zh-CN"/>
        </w:rPr>
        <w:t>513545.51</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。处置房屋建筑物</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rPr>
        <w:t>平方米，账面原值</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；处置车辆</w:t>
      </w:r>
      <w:r>
        <w:rPr>
          <w:rFonts w:hint="eastAsia" w:ascii="仿宋_GB2312" w:hAnsi="黑体" w:eastAsia="仿宋_GB2312" w:cs="方正小标宋简体"/>
          <w:color w:val="000000"/>
          <w:kern w:val="0"/>
          <w:sz w:val="30"/>
          <w:szCs w:val="30"/>
          <w:highlight w:val="none"/>
          <w:lang w:val="en-US" w:eastAsia="zh-CN"/>
        </w:rPr>
        <w:t>0</w:t>
      </w:r>
      <w:r>
        <w:rPr>
          <w:rFonts w:hint="eastAsia" w:ascii="仿宋_GB2312" w:hAnsi="黑体" w:eastAsia="仿宋_GB2312" w:cs="方正小标宋简体"/>
          <w:color w:val="000000"/>
          <w:kern w:val="0"/>
          <w:sz w:val="30"/>
          <w:szCs w:val="30"/>
          <w:highlight w:val="none"/>
        </w:rPr>
        <w:t>辆，账面原值</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；报废报损资产</w:t>
      </w:r>
      <w:r>
        <w:rPr>
          <w:rFonts w:hint="eastAsia" w:ascii="仿宋_GB2312" w:hAnsi="黑体" w:eastAsia="仿宋_GB2312" w:cs="方正小标宋简体"/>
          <w:color w:val="000000"/>
          <w:kern w:val="0"/>
          <w:sz w:val="30"/>
          <w:szCs w:val="30"/>
          <w:highlight w:val="none"/>
          <w:lang w:val="en-US" w:eastAsia="zh-CN"/>
        </w:rPr>
        <w:t>0</w:t>
      </w:r>
      <w:r>
        <w:rPr>
          <w:rFonts w:hint="eastAsia" w:ascii="仿宋_GB2312" w:hAnsi="黑体" w:eastAsia="仿宋_GB2312" w:cs="方正小标宋简体"/>
          <w:color w:val="000000"/>
          <w:kern w:val="0"/>
          <w:sz w:val="30"/>
          <w:szCs w:val="30"/>
          <w:highlight w:val="none"/>
        </w:rPr>
        <w:t>项，账面原值</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，实现资产处置收入</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；出租房屋</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rPr>
        <w:t>平方米，账面原值</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，实现资产使用收入</w:t>
      </w:r>
      <w:r>
        <w:rPr>
          <w:rFonts w:hint="eastAsia" w:ascii="仿宋_GB2312" w:hAnsi="黑体" w:eastAsia="仿宋_GB2312" w:cs="方正小标宋简体"/>
          <w:color w:val="000000"/>
          <w:kern w:val="0"/>
          <w:sz w:val="30"/>
          <w:szCs w:val="30"/>
          <w:highlight w:val="none"/>
          <w:lang w:val="en-US" w:eastAsia="zh-CN"/>
        </w:rPr>
        <w:t>0.00</w:t>
      </w:r>
      <w:r>
        <w:rPr>
          <w:rFonts w:hint="eastAsia" w:ascii="仿宋_GB2312" w:hAnsi="黑体" w:eastAsia="仿宋_GB2312" w:cs="方正小标宋简体"/>
          <w:color w:val="000000"/>
          <w:kern w:val="0"/>
          <w:sz w:val="30"/>
          <w:szCs w:val="30"/>
          <w:highlight w:val="none"/>
          <w:lang w:eastAsia="zh-CN"/>
        </w:rPr>
        <w:t>元</w:t>
      </w:r>
      <w:r>
        <w:rPr>
          <w:rFonts w:hint="eastAsia" w:ascii="仿宋_GB2312" w:hAnsi="黑体" w:eastAsia="仿宋_GB2312" w:cs="方正小标宋简体"/>
          <w:color w:val="000000"/>
          <w:kern w:val="0"/>
          <w:sz w:val="30"/>
          <w:szCs w:val="30"/>
          <w:highlight w:val="none"/>
        </w:rPr>
        <w:t>。</w:t>
      </w:r>
    </w:p>
    <w:p w14:paraId="5A3ABA67">
      <w:pPr>
        <w:widowControl/>
        <w:ind w:firstLine="600" w:firstLineChars="200"/>
        <w:rPr>
          <w:rFonts w:hint="eastAsia" w:ascii="仿宋_GB2312" w:hAnsi="黑体" w:eastAsia="仿宋_GB2312" w:cs="方正小标宋简体"/>
          <w:color w:val="000000"/>
          <w:kern w:val="0"/>
          <w:sz w:val="30"/>
          <w:szCs w:val="30"/>
          <w:highlight w:val="none"/>
          <w:lang w:eastAsia="zh-CN"/>
        </w:rPr>
      </w:pPr>
      <w:r>
        <w:rPr>
          <w:rFonts w:hint="eastAsia" w:ascii="仿宋_GB2312" w:hAnsi="黑体" w:eastAsia="仿宋_GB2312" w:cs="方正小标宋简体"/>
          <w:color w:val="000000"/>
          <w:kern w:val="0"/>
          <w:sz w:val="30"/>
          <w:szCs w:val="30"/>
          <w:highlight w:val="none"/>
          <w:lang w:eastAsia="zh-CN"/>
        </w:rPr>
        <w:t>（</w:t>
      </w:r>
      <w:r>
        <w:rPr>
          <w:rFonts w:hint="eastAsia" w:ascii="仿宋_GB2312" w:hAnsi="黑体" w:eastAsia="仿宋_GB2312" w:cs="方正小标宋简体"/>
          <w:color w:val="000000"/>
          <w:kern w:val="0"/>
          <w:sz w:val="30"/>
          <w:szCs w:val="30"/>
          <w:highlight w:val="none"/>
        </w:rPr>
        <w:t>国有资产占有使用情况表</w:t>
      </w:r>
      <w:r>
        <w:rPr>
          <w:rFonts w:hint="eastAsia" w:ascii="仿宋_GB2312" w:hAnsi="黑体" w:eastAsia="仿宋_GB2312" w:cs="方正小标宋简体"/>
          <w:color w:val="000000"/>
          <w:kern w:val="0"/>
          <w:sz w:val="30"/>
          <w:szCs w:val="30"/>
          <w:highlight w:val="none"/>
          <w:lang w:eastAsia="zh-CN"/>
        </w:rPr>
        <w:t>详见附表）</w:t>
      </w:r>
    </w:p>
    <w:tbl>
      <w:tblPr>
        <w:tblStyle w:val="5"/>
        <w:tblpPr w:leftFromText="180" w:rightFromText="180" w:topFromText="100" w:bottomFromText="100" w:vertAnchor="text" w:horzAnchor="page" w:tblpX="534" w:tblpY="490"/>
        <w:tblOverlap w:val="never"/>
        <w:tblW w:w="142" w:type="dxa"/>
        <w:tblInd w:w="-15" w:type="dxa"/>
        <w:tblLayout w:type="fixed"/>
        <w:tblCellMar>
          <w:top w:w="0" w:type="dxa"/>
          <w:left w:w="0" w:type="dxa"/>
          <w:bottom w:w="0" w:type="dxa"/>
          <w:right w:w="0" w:type="dxa"/>
        </w:tblCellMar>
      </w:tblPr>
      <w:tblGrid>
        <w:gridCol w:w="142"/>
      </w:tblGrid>
      <w:tr w14:paraId="02EED435">
        <w:tblPrEx>
          <w:tblCellMar>
            <w:top w:w="0" w:type="dxa"/>
            <w:left w:w="0" w:type="dxa"/>
            <w:bottom w:w="0" w:type="dxa"/>
            <w:right w:w="0" w:type="dxa"/>
          </w:tblCellMar>
        </w:tblPrEx>
        <w:trPr>
          <w:trHeight w:val="495" w:hRule="atLeast"/>
        </w:trPr>
        <w:tc>
          <w:tcPr>
            <w:tcW w:w="142" w:type="dxa"/>
            <w:tcBorders>
              <w:top w:val="nil"/>
              <w:left w:val="nil"/>
              <w:bottom w:val="nil"/>
              <w:right w:val="nil"/>
            </w:tcBorders>
            <w:noWrap w:val="0"/>
            <w:vAlign w:val="center"/>
          </w:tcPr>
          <w:p w14:paraId="5DA0F21A">
            <w:pPr>
              <w:widowControl/>
              <w:jc w:val="left"/>
              <w:rPr>
                <w:rFonts w:ascii="宋体" w:hAnsi="宋体" w:cs="宋体"/>
                <w:color w:val="000000"/>
                <w:kern w:val="0"/>
                <w:sz w:val="17"/>
                <w:szCs w:val="17"/>
                <w:highlight w:val="none"/>
              </w:rPr>
            </w:pPr>
          </w:p>
        </w:tc>
      </w:tr>
      <w:tr w14:paraId="16B1EE05">
        <w:tblPrEx>
          <w:tblCellMar>
            <w:top w:w="0" w:type="dxa"/>
            <w:left w:w="0" w:type="dxa"/>
            <w:bottom w:w="0" w:type="dxa"/>
            <w:right w:w="0" w:type="dxa"/>
          </w:tblCellMar>
        </w:tblPrEx>
        <w:trPr>
          <w:trHeight w:val="347" w:hRule="atLeast"/>
        </w:trPr>
        <w:tc>
          <w:tcPr>
            <w:tcW w:w="142" w:type="dxa"/>
            <w:tcBorders>
              <w:top w:val="nil"/>
              <w:left w:val="nil"/>
              <w:bottom w:val="nil"/>
              <w:right w:val="nil"/>
            </w:tcBorders>
            <w:noWrap w:val="0"/>
            <w:vAlign w:val="center"/>
          </w:tcPr>
          <w:p w14:paraId="0D094C80">
            <w:pPr>
              <w:widowControl/>
              <w:jc w:val="left"/>
              <w:rPr>
                <w:rFonts w:ascii="宋体" w:hAnsi="宋体" w:cs="宋体"/>
                <w:color w:val="000000"/>
                <w:kern w:val="0"/>
                <w:sz w:val="17"/>
                <w:szCs w:val="17"/>
                <w:highlight w:val="none"/>
              </w:rPr>
            </w:pPr>
          </w:p>
        </w:tc>
      </w:tr>
      <w:tr w14:paraId="0F93B705">
        <w:tblPrEx>
          <w:tblCellMar>
            <w:top w:w="0" w:type="dxa"/>
            <w:left w:w="0" w:type="dxa"/>
            <w:bottom w:w="0" w:type="dxa"/>
            <w:right w:w="0" w:type="dxa"/>
          </w:tblCellMar>
        </w:tblPrEx>
        <w:trPr>
          <w:trHeight w:val="415" w:hRule="atLeast"/>
        </w:trPr>
        <w:tc>
          <w:tcPr>
            <w:tcW w:w="142" w:type="dxa"/>
            <w:tcBorders>
              <w:top w:val="nil"/>
              <w:left w:val="nil"/>
              <w:bottom w:val="nil"/>
              <w:right w:val="nil"/>
            </w:tcBorders>
            <w:noWrap w:val="0"/>
            <w:vAlign w:val="center"/>
          </w:tcPr>
          <w:p w14:paraId="4E414FD8">
            <w:pPr>
              <w:widowControl/>
              <w:jc w:val="left"/>
              <w:rPr>
                <w:rFonts w:ascii="宋体" w:hAnsi="宋体" w:cs="宋体"/>
                <w:color w:val="000000"/>
                <w:kern w:val="0"/>
                <w:sz w:val="17"/>
                <w:szCs w:val="17"/>
                <w:highlight w:val="none"/>
              </w:rPr>
            </w:pPr>
          </w:p>
        </w:tc>
      </w:tr>
      <w:tr w14:paraId="087BC7E7">
        <w:tblPrEx>
          <w:tblCellMar>
            <w:top w:w="0" w:type="dxa"/>
            <w:left w:w="0" w:type="dxa"/>
            <w:bottom w:w="0" w:type="dxa"/>
            <w:right w:w="0" w:type="dxa"/>
          </w:tblCellMar>
        </w:tblPrEx>
        <w:trPr>
          <w:trHeight w:val="345" w:hRule="atLeast"/>
        </w:trPr>
        <w:tc>
          <w:tcPr>
            <w:tcW w:w="142" w:type="dxa"/>
            <w:tcBorders>
              <w:top w:val="nil"/>
              <w:left w:val="nil"/>
              <w:bottom w:val="nil"/>
              <w:right w:val="nil"/>
            </w:tcBorders>
            <w:noWrap w:val="0"/>
            <w:vAlign w:val="center"/>
          </w:tcPr>
          <w:p w14:paraId="008C704A">
            <w:pPr>
              <w:widowControl/>
              <w:jc w:val="left"/>
              <w:rPr>
                <w:rFonts w:ascii="宋体" w:hAnsi="宋体" w:cs="宋体"/>
                <w:color w:val="000000"/>
                <w:kern w:val="0"/>
                <w:sz w:val="17"/>
                <w:szCs w:val="17"/>
                <w:highlight w:val="none"/>
              </w:rPr>
            </w:pPr>
          </w:p>
        </w:tc>
      </w:tr>
      <w:tr w14:paraId="10A479BB">
        <w:tblPrEx>
          <w:tblCellMar>
            <w:top w:w="0" w:type="dxa"/>
            <w:left w:w="0" w:type="dxa"/>
            <w:bottom w:w="0" w:type="dxa"/>
            <w:right w:w="0" w:type="dxa"/>
          </w:tblCellMar>
        </w:tblPrEx>
        <w:trPr>
          <w:trHeight w:val="395" w:hRule="atLeast"/>
        </w:trPr>
        <w:tc>
          <w:tcPr>
            <w:tcW w:w="142" w:type="dxa"/>
            <w:tcBorders>
              <w:top w:val="nil"/>
              <w:left w:val="nil"/>
              <w:bottom w:val="nil"/>
              <w:right w:val="nil"/>
            </w:tcBorders>
            <w:noWrap w:val="0"/>
            <w:vAlign w:val="center"/>
          </w:tcPr>
          <w:p w14:paraId="7F00C3AF">
            <w:pPr>
              <w:widowControl/>
              <w:jc w:val="left"/>
              <w:rPr>
                <w:rFonts w:ascii="宋体" w:hAnsi="宋体" w:cs="宋体"/>
                <w:color w:val="000000"/>
                <w:kern w:val="0"/>
                <w:sz w:val="17"/>
                <w:szCs w:val="17"/>
                <w:highlight w:val="none"/>
              </w:rPr>
            </w:pPr>
          </w:p>
        </w:tc>
      </w:tr>
      <w:tr w14:paraId="55810F54">
        <w:tblPrEx>
          <w:tblCellMar>
            <w:top w:w="0" w:type="dxa"/>
            <w:left w:w="0" w:type="dxa"/>
            <w:bottom w:w="0" w:type="dxa"/>
            <w:right w:w="0" w:type="dxa"/>
          </w:tblCellMar>
        </w:tblPrEx>
        <w:trPr>
          <w:trHeight w:val="358" w:hRule="atLeast"/>
        </w:trPr>
        <w:tc>
          <w:tcPr>
            <w:tcW w:w="142" w:type="dxa"/>
            <w:tcBorders>
              <w:top w:val="nil"/>
              <w:left w:val="nil"/>
              <w:bottom w:val="nil"/>
              <w:right w:val="nil"/>
            </w:tcBorders>
            <w:noWrap w:val="0"/>
            <w:vAlign w:val="center"/>
          </w:tcPr>
          <w:p w14:paraId="0E743A80">
            <w:pPr>
              <w:widowControl/>
              <w:jc w:val="left"/>
              <w:rPr>
                <w:rFonts w:ascii="宋体" w:hAnsi="宋体" w:cs="宋体"/>
                <w:color w:val="000000"/>
                <w:kern w:val="0"/>
                <w:sz w:val="17"/>
                <w:szCs w:val="17"/>
                <w:highlight w:val="none"/>
              </w:rPr>
            </w:pPr>
          </w:p>
        </w:tc>
      </w:tr>
      <w:tr w14:paraId="432CA885">
        <w:tblPrEx>
          <w:tblCellMar>
            <w:top w:w="0" w:type="dxa"/>
            <w:left w:w="0" w:type="dxa"/>
            <w:bottom w:w="0" w:type="dxa"/>
            <w:right w:w="0" w:type="dxa"/>
          </w:tblCellMar>
        </w:tblPrEx>
        <w:trPr>
          <w:trHeight w:val="563" w:hRule="atLeast"/>
        </w:trPr>
        <w:tc>
          <w:tcPr>
            <w:tcW w:w="142" w:type="dxa"/>
            <w:tcBorders>
              <w:top w:val="nil"/>
              <w:left w:val="nil"/>
              <w:bottom w:val="nil"/>
              <w:right w:val="nil"/>
            </w:tcBorders>
            <w:noWrap w:val="0"/>
            <w:vAlign w:val="center"/>
          </w:tcPr>
          <w:p w14:paraId="76277C54">
            <w:pPr>
              <w:widowControl/>
              <w:jc w:val="left"/>
              <w:rPr>
                <w:rFonts w:ascii="宋体" w:hAnsi="宋体" w:cs="宋体"/>
                <w:color w:val="000000"/>
                <w:kern w:val="0"/>
                <w:sz w:val="17"/>
                <w:szCs w:val="17"/>
                <w:highlight w:val="none"/>
              </w:rPr>
            </w:pPr>
          </w:p>
        </w:tc>
      </w:tr>
      <w:tr w14:paraId="3EEB027E">
        <w:tblPrEx>
          <w:tblCellMar>
            <w:top w:w="0" w:type="dxa"/>
            <w:left w:w="0" w:type="dxa"/>
            <w:bottom w:w="0" w:type="dxa"/>
            <w:right w:w="0" w:type="dxa"/>
          </w:tblCellMar>
        </w:tblPrEx>
        <w:trPr>
          <w:trHeight w:val="495" w:hRule="atLeast"/>
        </w:trPr>
        <w:tc>
          <w:tcPr>
            <w:tcW w:w="142" w:type="dxa"/>
            <w:noWrap w:val="0"/>
            <w:vAlign w:val="center"/>
          </w:tcPr>
          <w:p w14:paraId="41DBB99B">
            <w:pPr>
              <w:widowControl/>
              <w:jc w:val="left"/>
              <w:rPr>
                <w:rFonts w:ascii="Times New Roman" w:hAnsi="Times New Roman" w:eastAsia="Times New Roman"/>
                <w:kern w:val="0"/>
                <w:sz w:val="20"/>
                <w:szCs w:val="20"/>
                <w:highlight w:val="none"/>
              </w:rPr>
            </w:pPr>
          </w:p>
        </w:tc>
      </w:tr>
    </w:tbl>
    <w:p w14:paraId="0CC0C70D">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三、政</w:t>
      </w:r>
      <w:r>
        <w:rPr>
          <w:rFonts w:hint="eastAsia" w:ascii="黑体" w:hAnsi="黑体" w:eastAsia="黑体" w:cs="黑体"/>
          <w:sz w:val="30"/>
          <w:szCs w:val="30"/>
          <w:highlight w:val="none"/>
        </w:rPr>
        <w:t>府采购支出情况</w:t>
      </w:r>
    </w:p>
    <w:p w14:paraId="03724F46">
      <w:pPr>
        <w:ind w:firstLine="600" w:firstLineChars="20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2025年度，单位政府采购支出总额</w:t>
      </w:r>
      <w:r>
        <w:rPr>
          <w:rFonts w:hint="eastAsia" w:ascii="仿宋_GB2312" w:hAnsi="仿宋_GB2312" w:eastAsia="仿宋_GB2312" w:cs="仿宋_GB2312"/>
          <w:color w:val="auto"/>
          <w:sz w:val="30"/>
          <w:lang w:val="zh-CN"/>
        </w:rPr>
        <w:t>8048961.19</w:t>
      </w:r>
      <w:r>
        <w:rPr>
          <w:rFonts w:hint="eastAsia" w:ascii="仿宋_GB2312" w:hAnsi="仿宋_GB2312" w:eastAsia="仿宋_GB2312" w:cs="仿宋_GB2312"/>
          <w:sz w:val="30"/>
          <w:szCs w:val="30"/>
          <w:highlight w:val="none"/>
          <w:lang w:val="en-US" w:eastAsia="zh-CN"/>
        </w:rPr>
        <w:t>元，其中：政府采购货物支出</w:t>
      </w:r>
      <w:r>
        <w:rPr>
          <w:rFonts w:hint="eastAsia" w:ascii="仿宋_GB2312" w:hAnsi="仿宋_GB2312" w:eastAsia="仿宋_GB2312" w:cs="仿宋_GB2312"/>
          <w:color w:val="auto"/>
          <w:sz w:val="30"/>
          <w:lang w:val="zh-CN"/>
        </w:rPr>
        <w:t>1932456.00</w:t>
      </w:r>
      <w:r>
        <w:rPr>
          <w:rFonts w:hint="eastAsia" w:ascii="仿宋_GB2312" w:hAnsi="仿宋_GB2312" w:eastAsia="仿宋_GB2312" w:cs="仿宋_GB2312"/>
          <w:sz w:val="30"/>
          <w:szCs w:val="30"/>
          <w:highlight w:val="none"/>
          <w:lang w:val="en-US" w:eastAsia="zh-CN"/>
        </w:rPr>
        <w:t>元；政府采购工程支出</w:t>
      </w:r>
      <w:r>
        <w:rPr>
          <w:rFonts w:hint="eastAsia" w:ascii="仿宋_GB2312" w:hAnsi="仿宋_GB2312" w:eastAsia="仿宋_GB2312" w:cs="仿宋_GB2312"/>
          <w:color w:val="auto"/>
          <w:sz w:val="30"/>
          <w:lang w:val="zh-CN"/>
        </w:rPr>
        <w:t>3767909.15</w:t>
      </w:r>
      <w:r>
        <w:rPr>
          <w:rFonts w:hint="eastAsia" w:ascii="仿宋_GB2312" w:hAnsi="仿宋_GB2312" w:eastAsia="仿宋_GB2312" w:cs="仿宋_GB2312"/>
          <w:sz w:val="30"/>
          <w:szCs w:val="30"/>
          <w:highlight w:val="none"/>
          <w:lang w:val="en-US" w:eastAsia="zh-CN"/>
        </w:rPr>
        <w:t>元；政府采购服务支出</w:t>
      </w:r>
      <w:r>
        <w:rPr>
          <w:rFonts w:hint="eastAsia" w:ascii="仿宋_GB2312" w:hAnsi="仿宋_GB2312" w:eastAsia="仿宋_GB2312" w:cs="仿宋_GB2312"/>
          <w:color w:val="auto"/>
          <w:sz w:val="30"/>
          <w:lang w:val="zh-CN"/>
        </w:rPr>
        <w:t>2348596.04</w:t>
      </w:r>
      <w:r>
        <w:rPr>
          <w:rFonts w:hint="eastAsia" w:ascii="仿宋_GB2312" w:hAnsi="仿宋_GB2312" w:eastAsia="仿宋_GB2312" w:cs="仿宋_GB2312"/>
          <w:sz w:val="30"/>
          <w:szCs w:val="30"/>
          <w:highlight w:val="none"/>
          <w:lang w:val="en-US" w:eastAsia="zh-CN"/>
        </w:rPr>
        <w:t>元。授予中小企业合同金额</w:t>
      </w:r>
      <w:r>
        <w:rPr>
          <w:rFonts w:hint="eastAsia" w:ascii="仿宋_GB2312" w:hAnsi="仿宋_GB2312" w:eastAsia="仿宋_GB2312" w:cs="仿宋_GB2312"/>
          <w:color w:val="auto"/>
          <w:sz w:val="30"/>
          <w:lang w:val="zh-CN"/>
        </w:rPr>
        <w:t>8048961.19</w:t>
      </w:r>
      <w:r>
        <w:rPr>
          <w:rFonts w:hint="eastAsia" w:ascii="仿宋_GB2312" w:hAnsi="仿宋_GB2312" w:eastAsia="仿宋_GB2312" w:cs="仿宋_GB2312"/>
          <w:sz w:val="30"/>
          <w:szCs w:val="30"/>
          <w:highlight w:val="none"/>
          <w:lang w:val="en-US" w:eastAsia="zh-CN"/>
        </w:rPr>
        <w:t>元，其中：授予小微企业合同金额</w:t>
      </w:r>
      <w:r>
        <w:rPr>
          <w:rFonts w:hint="eastAsia" w:ascii="仿宋_GB2312" w:hAnsi="仿宋_GB2312" w:eastAsia="仿宋_GB2312" w:cs="仿宋_GB2312"/>
          <w:color w:val="auto"/>
          <w:sz w:val="30"/>
          <w:lang w:val="zh-CN"/>
        </w:rPr>
        <w:t>0.00</w:t>
      </w:r>
      <w:r>
        <w:rPr>
          <w:rFonts w:hint="eastAsia" w:ascii="仿宋_GB2312" w:hAnsi="仿宋_GB2312" w:eastAsia="仿宋_GB2312" w:cs="仿宋_GB2312"/>
          <w:sz w:val="30"/>
          <w:szCs w:val="30"/>
          <w:highlight w:val="none"/>
          <w:lang w:val="en-US" w:eastAsia="zh-CN"/>
        </w:rPr>
        <w:t>元。</w:t>
      </w:r>
    </w:p>
    <w:p w14:paraId="3375FA0A">
      <w:pPr>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四、单位绩效自评情况</w:t>
      </w:r>
    </w:p>
    <w:p w14:paraId="577A0AAA">
      <w:pPr>
        <w:widowControl/>
        <w:snapToGrid w:val="0"/>
        <w:spacing w:before="100" w:after="100" w:line="360" w:lineRule="auto"/>
        <w:ind w:firstLine="600"/>
        <w:jc w:val="lef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单位绩效自评情况详见附表。</w:t>
      </w:r>
    </w:p>
    <w:p w14:paraId="090BE93A">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五、其他重要事项情况说明</w:t>
      </w:r>
    </w:p>
    <w:p w14:paraId="5B0F6B44">
      <w:pPr>
        <w:widowControl/>
        <w:snapToGrid w:val="0"/>
        <w:spacing w:before="100" w:after="100" w:line="360" w:lineRule="auto"/>
        <w:ind w:firstLine="600"/>
        <w:jc w:val="left"/>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无其他重要事项情况说明。</w:t>
      </w:r>
    </w:p>
    <w:p w14:paraId="414A218A">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六、相关口径说明</w:t>
      </w:r>
    </w:p>
    <w:p w14:paraId="35B628C6">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（一）</w:t>
      </w:r>
      <w:r>
        <w:rPr>
          <w:rFonts w:hint="eastAsia" w:ascii="仿宋_GB2312" w:hAnsi="黑体" w:eastAsia="仿宋_GB2312" w:cs="方正小标宋简体"/>
          <w:sz w:val="30"/>
          <w:szCs w:val="30"/>
          <w:highlight w:val="none"/>
        </w:rPr>
        <w:t>基本支出中人员经费包括工资福利支出和对个人和家庭的补助，公用</w:t>
      </w:r>
      <w:r>
        <w:rPr>
          <w:rFonts w:hint="eastAsia" w:ascii="仿宋_GB2312" w:hAnsi="黑体" w:eastAsia="仿宋_GB2312" w:cs="方正小标宋简体"/>
          <w:sz w:val="30"/>
          <w:szCs w:val="30"/>
          <w:highlight w:val="none"/>
          <w:lang w:eastAsia="zh-CN"/>
        </w:rPr>
        <w:t>经费</w:t>
      </w:r>
      <w:r>
        <w:rPr>
          <w:rFonts w:hint="eastAsia" w:ascii="仿宋_GB2312" w:hAnsi="黑体" w:eastAsia="仿宋_GB2312" w:cs="方正小标宋简体"/>
          <w:sz w:val="30"/>
          <w:szCs w:val="30"/>
          <w:highlight w:val="none"/>
        </w:rPr>
        <w:t>包括商品和服务支出、资本性支出等人员经费以外的支出。</w:t>
      </w:r>
    </w:p>
    <w:p w14:paraId="03377F3F">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（二）</w:t>
      </w:r>
      <w:r>
        <w:rPr>
          <w:rFonts w:hint="eastAsia" w:ascii="仿宋_GB2312" w:hAnsi="黑体" w:eastAsia="仿宋_GB2312" w:cs="方正小标宋简体"/>
          <w:sz w:val="30"/>
          <w:szCs w:val="30"/>
          <w:highlight w:val="none"/>
        </w:rPr>
        <w:t>机关运行经费指行政单位和参照公务员法管理的事业单位使用一般公共预算财政拨款安排的基本支出中的公用经费支出</w:t>
      </w:r>
      <w:r>
        <w:rPr>
          <w:rFonts w:hint="eastAsia" w:ascii="仿宋_GB2312" w:hAnsi="黑体" w:eastAsia="仿宋_GB2312" w:cs="方正小标宋简体"/>
          <w:sz w:val="30"/>
          <w:szCs w:val="30"/>
          <w:highlight w:val="none"/>
          <w:lang w:eastAsia="zh-CN"/>
        </w:rPr>
        <w:t>。</w:t>
      </w:r>
    </w:p>
    <w:p w14:paraId="7FA29CDA">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lang w:eastAsia="zh-CN"/>
        </w:rPr>
      </w:pPr>
      <w:r>
        <w:rPr>
          <w:rFonts w:hint="eastAsia" w:ascii="仿宋_GB2312" w:hAnsi="黑体" w:eastAsia="仿宋_GB2312" w:cs="方正小标宋简体"/>
          <w:sz w:val="30"/>
          <w:szCs w:val="30"/>
          <w:highlight w:val="none"/>
          <w:lang w:eastAsia="zh-CN"/>
        </w:rPr>
        <w:t>（三）</w:t>
      </w:r>
      <w:r>
        <w:rPr>
          <w:rFonts w:hint="eastAsia" w:ascii="仿宋_GB2312" w:hAnsi="黑体" w:eastAsia="仿宋_GB2312" w:cs="方正小标宋简体"/>
          <w:sz w:val="30"/>
          <w:szCs w:val="30"/>
          <w:highlight w:val="none"/>
        </w:rPr>
        <w:t>按照党中央、国务院有关文件及部门预算管理有关规定，“三公”经费包括因公出国（境）费</w:t>
      </w:r>
      <w:r>
        <w:rPr>
          <w:rFonts w:hint="eastAsia" w:ascii="仿宋_GB2312" w:hAnsi="黑体" w:eastAsia="仿宋_GB2312" w:cs="方正小标宋简体"/>
          <w:sz w:val="30"/>
          <w:szCs w:val="30"/>
          <w:highlight w:val="none"/>
          <w:lang w:val="en-US" w:eastAsia="zh-CN"/>
        </w:rPr>
        <w:t>用</w:t>
      </w:r>
      <w:r>
        <w:rPr>
          <w:rFonts w:hint="eastAsia" w:ascii="仿宋_GB2312" w:hAnsi="黑体" w:eastAsia="仿宋_GB2312" w:cs="方正小标宋简体"/>
          <w:sz w:val="30"/>
          <w:szCs w:val="30"/>
          <w:highlight w:val="none"/>
        </w:rPr>
        <w:t>、公务用车购置及运行维护费、公务接待费。其中：因公出国（境）费</w:t>
      </w:r>
      <w:r>
        <w:rPr>
          <w:rFonts w:hint="eastAsia" w:ascii="仿宋_GB2312" w:hAnsi="黑体" w:eastAsia="仿宋_GB2312" w:cs="方正小标宋简体"/>
          <w:sz w:val="30"/>
          <w:szCs w:val="30"/>
          <w:highlight w:val="none"/>
          <w:lang w:val="en-US" w:eastAsia="zh-CN"/>
        </w:rPr>
        <w:t>用</w:t>
      </w:r>
      <w:r>
        <w:rPr>
          <w:rFonts w:hint="eastAsia" w:ascii="仿宋_GB2312" w:hAnsi="黑体" w:eastAsia="仿宋_GB2312" w:cs="方正小标宋简体"/>
          <w:sz w:val="30"/>
          <w:szCs w:val="30"/>
          <w:highlight w:val="none"/>
        </w:rPr>
        <w:t>，指单位公务出国（境）的国际旅费、国外城市间交通费、住宿费、伙食费、培训费、公杂费等支出；公务用车购置费，指公务用车购置支出（含车辆购置税</w:t>
      </w:r>
      <w:r>
        <w:rPr>
          <w:rFonts w:hint="eastAsia" w:ascii="仿宋_GB2312" w:hAnsi="黑体" w:eastAsia="仿宋_GB2312" w:cs="方正小标宋简体"/>
          <w:sz w:val="30"/>
          <w:szCs w:val="30"/>
          <w:highlight w:val="none"/>
          <w:lang w:eastAsia="zh-CN"/>
        </w:rPr>
        <w:t>、牌照费</w:t>
      </w:r>
      <w:r>
        <w:rPr>
          <w:rFonts w:hint="eastAsia" w:ascii="仿宋_GB2312" w:hAnsi="黑体" w:eastAsia="仿宋_GB2312" w:cs="方正小标宋简体"/>
          <w:sz w:val="30"/>
          <w:szCs w:val="30"/>
          <w:highlight w:val="none"/>
        </w:rPr>
        <w:t>）；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r>
        <w:rPr>
          <w:rFonts w:hint="eastAsia" w:ascii="仿宋_GB2312" w:hAnsi="黑体" w:eastAsia="仿宋_GB2312" w:cs="方正小标宋简体"/>
          <w:sz w:val="30"/>
          <w:szCs w:val="30"/>
          <w:highlight w:val="none"/>
          <w:lang w:eastAsia="zh-CN"/>
        </w:rPr>
        <w:t>本文中公开的财政拨款“三公”经费相关数据是一般公共预算、政府性基金及国有资本经营预算财政拨款支出的相关经费，不含非财政拨款部分。</w:t>
      </w:r>
    </w:p>
    <w:p w14:paraId="7719F11A">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rPr>
      </w:pPr>
      <w:r>
        <w:rPr>
          <w:rFonts w:hint="eastAsia" w:ascii="仿宋_GB2312" w:hAnsi="黑体" w:eastAsia="仿宋_GB2312" w:cs="方正小标宋简体"/>
          <w:sz w:val="30"/>
          <w:szCs w:val="30"/>
          <w:highlight w:val="none"/>
          <w:lang w:eastAsia="zh-CN"/>
        </w:rPr>
        <w:t>（四）本文所称财政拨款</w:t>
      </w:r>
      <w:r>
        <w:rPr>
          <w:rFonts w:hint="eastAsia" w:ascii="仿宋_GB2312" w:hAnsi="黑体" w:eastAsia="仿宋_GB2312" w:cs="方正小标宋简体"/>
          <w:sz w:val="30"/>
          <w:szCs w:val="30"/>
          <w:highlight w:val="none"/>
        </w:rPr>
        <w:t>“三公”经费决算数</w:t>
      </w:r>
      <w:r>
        <w:rPr>
          <w:rFonts w:hint="eastAsia" w:ascii="仿宋_GB2312" w:hAnsi="黑体" w:eastAsia="仿宋_GB2312" w:cs="方正小标宋简体"/>
          <w:sz w:val="30"/>
          <w:szCs w:val="30"/>
          <w:highlight w:val="none"/>
          <w:lang w:eastAsia="zh-CN"/>
        </w:rPr>
        <w:t>是</w:t>
      </w:r>
      <w:r>
        <w:rPr>
          <w:rFonts w:hint="eastAsia" w:ascii="仿宋_GB2312" w:hAnsi="黑体" w:eastAsia="仿宋_GB2312" w:cs="方正小标宋简体"/>
          <w:sz w:val="30"/>
          <w:szCs w:val="30"/>
          <w:highlight w:val="none"/>
        </w:rPr>
        <w:t>指各部门（含下属单位）</w:t>
      </w:r>
      <w:r>
        <w:rPr>
          <w:rFonts w:hint="eastAsia" w:ascii="仿宋_GB2312" w:hAnsi="黑体" w:eastAsia="仿宋_GB2312" w:cs="方正小标宋简体"/>
          <w:sz w:val="30"/>
          <w:szCs w:val="30"/>
          <w:highlight w:val="none"/>
          <w:lang w:eastAsia="zh-CN"/>
        </w:rPr>
        <w:t>或单位</w:t>
      </w:r>
      <w:r>
        <w:rPr>
          <w:rFonts w:hint="eastAsia" w:ascii="仿宋_GB2312" w:hAnsi="黑体" w:eastAsia="仿宋_GB2312" w:cs="方正小标宋简体"/>
          <w:sz w:val="30"/>
          <w:szCs w:val="30"/>
          <w:highlight w:val="none"/>
        </w:rPr>
        <w:t>当年通过本级财政拨款和以前年度财政拨款结转结余资金安排的因公出国（境）费</w:t>
      </w:r>
      <w:r>
        <w:rPr>
          <w:rFonts w:hint="eastAsia" w:ascii="仿宋_GB2312" w:hAnsi="黑体" w:eastAsia="仿宋_GB2312" w:cs="方正小标宋简体"/>
          <w:sz w:val="30"/>
          <w:szCs w:val="30"/>
          <w:highlight w:val="none"/>
          <w:lang w:val="en-US" w:eastAsia="zh-CN"/>
        </w:rPr>
        <w:t>用</w:t>
      </w:r>
      <w:r>
        <w:rPr>
          <w:rFonts w:hint="eastAsia" w:ascii="仿宋_GB2312" w:hAnsi="黑体" w:eastAsia="仿宋_GB2312" w:cs="方正小标宋简体"/>
          <w:sz w:val="30"/>
          <w:szCs w:val="30"/>
          <w:highlight w:val="none"/>
        </w:rPr>
        <w:t>、公务用车购置及运行维护费和公务接待费支出数（包括基本支出和项目支出）。</w:t>
      </w:r>
    </w:p>
    <w:p w14:paraId="02DDE6E8">
      <w:pPr>
        <w:jc w:val="center"/>
        <w:outlineLvl w:val="0"/>
        <w:rPr>
          <w:rFonts w:hint="eastAsia" w:ascii="黑体" w:hAnsi="黑体" w:eastAsia="黑体" w:cs="方正小标宋简体"/>
          <w:sz w:val="32"/>
          <w:szCs w:val="32"/>
          <w:highlight w:val="none"/>
        </w:rPr>
      </w:pPr>
      <w:r>
        <w:rPr>
          <w:rFonts w:hint="eastAsia" w:ascii="黑体" w:hAnsi="黑体" w:eastAsia="黑体" w:cs="方正小标宋简体"/>
          <w:sz w:val="32"/>
          <w:szCs w:val="32"/>
          <w:highlight w:val="none"/>
        </w:rPr>
        <w:t>第</w:t>
      </w:r>
      <w:r>
        <w:rPr>
          <w:rFonts w:hint="eastAsia" w:ascii="黑体" w:hAnsi="黑体" w:eastAsia="黑体" w:cs="方正小标宋简体"/>
          <w:sz w:val="32"/>
          <w:szCs w:val="32"/>
          <w:highlight w:val="none"/>
          <w:lang w:eastAsia="zh-CN"/>
        </w:rPr>
        <w:t>五</w:t>
      </w:r>
      <w:r>
        <w:rPr>
          <w:rFonts w:hint="eastAsia" w:ascii="黑体" w:hAnsi="黑体" w:eastAsia="黑体" w:cs="方正小标宋简体"/>
          <w:sz w:val="32"/>
          <w:szCs w:val="32"/>
          <w:highlight w:val="none"/>
        </w:rPr>
        <w:t>部分  名词解释</w:t>
      </w:r>
    </w:p>
    <w:p w14:paraId="424208FB">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仿宋_GB2312" w:hAnsi="黑体" w:eastAsia="仿宋_GB2312" w:cs="方正小标宋简体"/>
          <w:sz w:val="30"/>
          <w:szCs w:val="30"/>
          <w:highlight w:val="none"/>
          <w:lang w:eastAsia="zh-CN"/>
        </w:rPr>
      </w:pPr>
      <w:r>
        <w:rPr>
          <w:rFonts w:hint="eastAsia" w:ascii="仿宋_GB2312" w:hAnsi="黑体" w:eastAsia="仿宋_GB2312" w:cs="方正小标宋简体"/>
          <w:sz w:val="30"/>
          <w:szCs w:val="30"/>
          <w:highlight w:val="none"/>
          <w:lang w:eastAsia="zh-CN"/>
        </w:rPr>
        <w:t>部门决算：各部门依据国家有关法律法规规定及其履行职能情况编制，反映部门和单位所有预算收支和结余执行结果及绩效等情况的综合性年度报告，是改进部门预算执行以及编制后续年度部门预算的参考和依据。</w:t>
      </w:r>
    </w:p>
    <w:p w14:paraId="3326EDAD">
      <w:pPr>
        <w:keepNext w:val="0"/>
        <w:keepLines w:val="0"/>
        <w:pageBreakBefore w:val="0"/>
        <w:widowControl w:val="0"/>
        <w:kinsoku/>
        <w:wordWrap/>
        <w:overflowPunct/>
        <w:topLinePunct w:val="0"/>
        <w:autoSpaceDE/>
        <w:autoSpaceDN/>
        <w:bidi w:val="0"/>
        <w:adjustRightInd/>
        <w:snapToGrid/>
        <w:jc w:val="both"/>
        <w:textAlignment w:val="auto"/>
        <w:rPr>
          <w:highlight w:val="none"/>
        </w:rPr>
      </w:pPr>
    </w:p>
    <w:sectPr>
      <w:headerReference r:id="rId3" w:type="default"/>
      <w:footerReference r:id="rId4" w:type="default"/>
      <w:footerReference r:id="rId5" w:type="even"/>
      <w:pgSz w:w="11906" w:h="16838"/>
      <w:pgMar w:top="2098" w:right="1418" w:bottom="1588"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CD819C5-6A9C-4C1C-B477-7635828314B3}"/>
  </w:font>
  <w:font w:name="黑体">
    <w:panose1 w:val="02010609060101010101"/>
    <w:charset w:val="86"/>
    <w:family w:val="auto"/>
    <w:pitch w:val="default"/>
    <w:sig w:usb0="800002BF" w:usb1="38CF7CFA" w:usb2="00000016" w:usb3="00000000" w:csb0="00040001" w:csb1="00000000"/>
    <w:embedRegular r:id="rId2" w:fontKey="{A0F61CD5-0D2C-4307-8822-1534F92EBB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09105EB9-AB90-4792-BBCB-197F5A7703EE}"/>
  </w:font>
  <w:font w:name="方正小标宋简体">
    <w:panose1 w:val="02000000000000000000"/>
    <w:charset w:val="86"/>
    <w:family w:val="script"/>
    <w:pitch w:val="default"/>
    <w:sig w:usb0="00000001" w:usb1="08000000" w:usb2="00000000" w:usb3="00000000" w:csb0="00040000" w:csb1="00000000"/>
    <w:embedRegular r:id="rId4" w:fontKey="{4AF5D0D7-8915-43B2-9133-B770A592EA59}"/>
  </w:font>
  <w:font w:name="楷体">
    <w:panose1 w:val="02010609060101010101"/>
    <w:charset w:val="86"/>
    <w:family w:val="modern"/>
    <w:pitch w:val="default"/>
    <w:sig w:usb0="800002BF" w:usb1="38CF7CFA" w:usb2="00000016" w:usb3="00000000" w:csb0="00040001" w:csb1="00000000"/>
    <w:embedRegular r:id="rId5" w:fontKey="{22FB3285-AF88-437E-8E48-36B6FA29ACB3}"/>
  </w:font>
  <w:font w:name="楷体_GB2312">
    <w:panose1 w:val="02010609030101010101"/>
    <w:charset w:val="86"/>
    <w:family w:val="auto"/>
    <w:pitch w:val="default"/>
    <w:sig w:usb0="00000001" w:usb1="080E0000" w:usb2="00000000" w:usb3="00000000" w:csb0="00040000" w:csb1="00000000"/>
    <w:embedRegular r:id="rId6" w:fontKey="{F60AAE49-6C91-48BC-BDEA-4E178EF021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FB63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30DF1B">
                          <w:pPr>
                            <w:pStyle w:val="3"/>
                            <w:rPr>
                              <w:rStyle w:val="9"/>
                            </w:rPr>
                          </w:pPr>
                          <w:r>
                            <w:rPr>
                              <w:rStyle w:val="9"/>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8</w:t>
                          </w:r>
                          <w:r>
                            <w:rPr>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3F30DF1B">
                    <w:pPr>
                      <w:pStyle w:val="3"/>
                      <w:rPr>
                        <w:rStyle w:val="9"/>
                      </w:rPr>
                    </w:pPr>
                    <w:r>
                      <w:rPr>
                        <w:rStyle w:val="9"/>
                        <w:sz w:val="28"/>
                        <w:szCs w:val="28"/>
                      </w:rPr>
                      <w:fldChar w:fldCharType="begin"/>
                    </w:r>
                    <w:r>
                      <w:rPr>
                        <w:rStyle w:val="9"/>
                        <w:sz w:val="28"/>
                        <w:szCs w:val="28"/>
                      </w:rPr>
                      <w:instrText xml:space="preserve">PAGE  </w:instrText>
                    </w:r>
                    <w:r>
                      <w:rPr>
                        <w:sz w:val="28"/>
                        <w:szCs w:val="28"/>
                      </w:rPr>
                      <w:fldChar w:fldCharType="separate"/>
                    </w:r>
                    <w:r>
                      <w:rPr>
                        <w:rStyle w:val="9"/>
                        <w:sz w:val="28"/>
                        <w:szCs w:val="28"/>
                      </w:rPr>
                      <w:t>8</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4C6F8">
    <w:pPr>
      <w:pStyle w:val="3"/>
      <w:framePr w:wrap="around" w:vAnchor="text" w:hAnchor="margin" w:xAlign="center" w:y="1"/>
      <w:rPr>
        <w:rStyle w:val="9"/>
      </w:rPr>
    </w:pPr>
    <w:r>
      <w:rPr>
        <w:rStyle w:val="9"/>
      </w:rPr>
      <w:fldChar w:fldCharType="begin"/>
    </w:r>
    <w:r>
      <w:rPr>
        <w:rStyle w:val="9"/>
      </w:rPr>
      <w:instrText xml:space="preserve">PAGE  </w:instrText>
    </w:r>
    <w:r>
      <w:fldChar w:fldCharType="separate"/>
    </w:r>
    <w:r>
      <w:fldChar w:fldCharType="end"/>
    </w:r>
  </w:p>
  <w:p w14:paraId="13F4AE5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A6CC">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4"/>
      <w:numFmt w:val="chineseCounting"/>
      <w:suff w:val="nothing"/>
      <w:lvlText w:val="%1、"/>
      <w:lvlJc w:val="left"/>
      <w:rPr>
        <w:rFonts w:hint="eastAsia"/>
      </w:rPr>
    </w:lvl>
  </w:abstractNum>
  <w:abstractNum w:abstractNumId="1">
    <w:nsid w:val="1ADB5574"/>
    <w:multiLevelType w:val="singleLevel"/>
    <w:tmpl w:val="1ADB557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2288A"/>
    <w:rsid w:val="064C08A8"/>
    <w:rsid w:val="0C0069FF"/>
    <w:rsid w:val="0C035A9F"/>
    <w:rsid w:val="0F890F70"/>
    <w:rsid w:val="10025B0C"/>
    <w:rsid w:val="107C6D27"/>
    <w:rsid w:val="14427CA3"/>
    <w:rsid w:val="1EAB4489"/>
    <w:rsid w:val="1F7E2ADC"/>
    <w:rsid w:val="236D6EC6"/>
    <w:rsid w:val="2A6308E4"/>
    <w:rsid w:val="2DD613CD"/>
    <w:rsid w:val="33446DD8"/>
    <w:rsid w:val="48022310"/>
    <w:rsid w:val="4F9D4064"/>
    <w:rsid w:val="546F1A89"/>
    <w:rsid w:val="57942EF9"/>
    <w:rsid w:val="58A81A34"/>
    <w:rsid w:val="651421FF"/>
    <w:rsid w:val="69D56401"/>
    <w:rsid w:val="78470884"/>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Strong"/>
    <w:basedOn w:val="7"/>
    <w:qFormat/>
    <w:uiPriority w:val="0"/>
    <w:rPr>
      <w:b/>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D45296F7F2444F3C8CDB43DA2E9FADD3</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8ddbac-d9a8-4891-aee6-eeac45e23851}">
  <ds:schemaRefs/>
</ds:datastoreItem>
</file>

<file path=docProps/app.xml><?xml version="1.0" encoding="utf-8"?>
<Properties xmlns="http://schemas.openxmlformats.org/officeDocument/2006/extended-properties" xmlns:vt="http://schemas.openxmlformats.org/officeDocument/2006/docPropsVTypes">
  <Template>Normal.dotm</Template>
  <Company>云南省财政厅</Company>
  <Pages>19</Pages>
  <Words>8223</Words>
  <Characters>9497</Characters>
  <Lines>0</Lines>
  <Paragraphs>0</Paragraphs>
  <TotalTime>9</TotalTime>
  <ScaleCrop>false</ScaleCrop>
  <LinksUpToDate>false</LinksUpToDate>
  <CharactersWithSpaces>9519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2024-06-03T01:34:00Z</dcterms:created>
  <dc:creator>李瑞婷_x0028_拟稿_x0029_</dc:creator>
  <cp:lastModifiedBy>刘嫽0128</cp:lastModifiedBy>
  <cp:lastPrinted>2024-07-30T06:24:00Z</cp:lastPrinted>
  <dcterms:modified xsi:type="dcterms:W3CDTF">2026-09-07T03:29:48Z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4349F1C05EA740FB87F719E4383E17BC_13</vt:lpwstr>
  </property>
  <property fmtid="{D5CDD505-2E9C-101B-9397-08002B2CF9AE}" pid="4" name="KSOTemplateDocerSaveRecord">
    <vt:lpwstr>eyJoZGlkIjoiZGZlNjJlZjNkZTYyZGE3ZTQ5NzZmZjcwOWU2YTA0MzciLCJ1c2VySWQiOiIxODIyODYxOTgyIn0=</vt:lpwstr>
  </property>
</Properties>
</file>